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/>
        <w:ind w:firstLine="0" w:left="5103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Актуальная редакция на 17</w:t>
      </w:r>
      <w:r>
        <w:rPr>
          <w:rFonts w:ascii="Times New Roman" w:hAnsi="Times New Roman"/>
          <w:color w:val="000000"/>
          <w:sz w:val="28"/>
        </w:rPr>
        <w:t>.07.2024</w:t>
      </w:r>
    </w:p>
    <w:p w14:paraId="04000000">
      <w:pPr>
        <w:spacing w:after="0"/>
        <w:ind w:firstLine="0" w:left="5103"/>
        <w:outlineLvl w:val="0"/>
        <w:rPr>
          <w:rFonts w:ascii="Times New Roman" w:hAnsi="Times New Roman"/>
          <w:sz w:val="28"/>
        </w:rPr>
      </w:pPr>
    </w:p>
    <w:p w14:paraId="05000000">
      <w:pPr>
        <w:spacing w:after="0"/>
        <w:ind w:firstLine="0" w:left="510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3</w:t>
      </w:r>
    </w:p>
    <w:p w14:paraId="06000000">
      <w:pPr>
        <w:spacing w:after="0"/>
        <w:ind w:firstLine="0" w:left="510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7000000">
      <w:pPr>
        <w:spacing w:after="0"/>
        <w:ind w:firstLine="0" w:left="510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Главы администрации города Байконур</w:t>
      </w:r>
    </w:p>
    <w:p w14:paraId="08000000">
      <w:pPr>
        <w:spacing w:after="0"/>
        <w:ind w:firstLine="0" w:left="510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09 февраля 2021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54</w:t>
      </w:r>
    </w:p>
    <w:p w14:paraId="09000000">
      <w:pPr>
        <w:spacing w:after="0" w:line="240" w:lineRule="auto"/>
        <w:ind w:firstLine="0" w:left="5103"/>
        <w:outlineLvl w:val="0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Порядок </w:t>
      </w:r>
    </w:p>
    <w:p w14:paraId="0B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согласования </w:t>
      </w:r>
      <w:r>
        <w:rPr>
          <w:rFonts w:ascii="Times New Roman" w:hAnsi="Times New Roman"/>
          <w:b w:val="1"/>
          <w:sz w:val="28"/>
        </w:rPr>
        <w:t xml:space="preserve">(одобрения) </w:t>
      </w:r>
      <w:r>
        <w:rPr>
          <w:rFonts w:ascii="Times New Roman" w:hAnsi="Times New Roman"/>
          <w:b w:val="1"/>
          <w:sz w:val="28"/>
        </w:rPr>
        <w:t xml:space="preserve">сделок </w:t>
      </w:r>
      <w:r>
        <w:rPr>
          <w:rFonts w:ascii="Times New Roman" w:hAnsi="Times New Roman"/>
          <w:b w:val="1"/>
          <w:sz w:val="28"/>
        </w:rPr>
        <w:t>государственных унитарных предприятий</w:t>
      </w:r>
      <w:r>
        <w:rPr>
          <w:rFonts w:ascii="Times New Roman" w:hAnsi="Times New Roman"/>
          <w:b w:val="1"/>
          <w:sz w:val="28"/>
        </w:rPr>
        <w:t xml:space="preserve"> и учреждений</w:t>
      </w:r>
      <w:r>
        <w:rPr>
          <w:rFonts w:ascii="Times New Roman" w:hAnsi="Times New Roman"/>
          <w:b w:val="1"/>
          <w:sz w:val="28"/>
        </w:rPr>
        <w:t xml:space="preserve">, находящихся в ведении </w:t>
      </w:r>
    </w:p>
    <w:p w14:paraId="0C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администрации города Байконур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color w:val="1F4E79"/>
          <w:sz w:val="26"/>
        </w:rPr>
      </w:pPr>
    </w:p>
    <w:p w14:paraId="0E000000">
      <w:pPr>
        <w:spacing w:after="0" w:line="240" w:lineRule="auto"/>
        <w:ind/>
        <w:jc w:val="center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Внесены изменения постановлением Главы администрации города Байконур</w:t>
      </w:r>
    </w:p>
    <w:p w14:paraId="0F000000">
      <w:pPr>
        <w:spacing w:after="0" w:line="240" w:lineRule="auto"/>
        <w:ind w:firstLine="709" w:left="0"/>
        <w:jc w:val="center"/>
        <w:outlineLvl w:val="1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от 17 июля 2024 г. № </w:t>
      </w:r>
      <w:r>
        <w:rPr>
          <w:rFonts w:ascii="Times New Roman" w:hAnsi="Times New Roman"/>
          <w:b w:val="0"/>
          <w:color w:val="000000"/>
          <w:sz w:val="28"/>
        </w:rPr>
        <w:t>244</w:t>
      </w:r>
    </w:p>
    <w:p w14:paraId="10000000">
      <w:pPr>
        <w:spacing w:after="0" w:line="240" w:lineRule="auto"/>
        <w:ind w:firstLine="709" w:left="0"/>
        <w:jc w:val="center"/>
        <w:outlineLvl w:val="1"/>
        <w:rPr>
          <w:rFonts w:ascii="Times New Roman" w:hAnsi="Times New Roman"/>
          <w:b w:val="1"/>
          <w:sz w:val="28"/>
        </w:rPr>
      </w:pPr>
    </w:p>
    <w:p w14:paraId="11000000">
      <w:pPr>
        <w:pStyle w:val="Style_2"/>
        <w:ind/>
        <w:jc w:val="center"/>
      </w:pPr>
      <w:r>
        <w:t>1. Общие положения</w:t>
      </w:r>
    </w:p>
    <w:p w14:paraId="1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3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 xml:space="preserve">Порядок </w:t>
      </w:r>
      <w:r>
        <w:rPr>
          <w:rFonts w:ascii="Times New Roman" w:hAnsi="Times New Roman"/>
          <w:sz w:val="28"/>
        </w:rPr>
        <w:t>согласования (одобрения) сделок государственных унитарных предприятий и учреждений, находящихся в ведении администрации города Байконур (далее – Порядок)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определяет процедуру и условия согласования </w:t>
      </w:r>
      <w:r>
        <w:rPr>
          <w:rFonts w:ascii="Times New Roman" w:hAnsi="Times New Roman"/>
          <w:sz w:val="28"/>
        </w:rPr>
        <w:t xml:space="preserve">(одобрения) </w:t>
      </w:r>
      <w:r>
        <w:rPr>
          <w:rFonts w:ascii="Times New Roman" w:hAnsi="Times New Roman"/>
          <w:sz w:val="28"/>
        </w:rPr>
        <w:t xml:space="preserve">администрацией города Байконур </w:t>
      </w:r>
      <w:r>
        <w:rPr>
          <w:rFonts w:ascii="Times New Roman" w:hAnsi="Times New Roman"/>
          <w:sz w:val="28"/>
        </w:rPr>
        <w:t xml:space="preserve">(далее – собственник имущества) </w:t>
      </w:r>
      <w:r>
        <w:rPr>
          <w:rFonts w:ascii="Times New Roman" w:hAnsi="Times New Roman"/>
          <w:sz w:val="28"/>
        </w:rPr>
        <w:t>сделок государственных унитарных предприятий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бюджетных</w:t>
      </w:r>
      <w:r>
        <w:rPr>
          <w:rFonts w:ascii="Times New Roman" w:hAnsi="Times New Roman"/>
          <w:sz w:val="28"/>
        </w:rPr>
        <w:t>, казенных</w:t>
      </w:r>
      <w:r>
        <w:rPr>
          <w:rFonts w:ascii="Times New Roman" w:hAnsi="Times New Roman"/>
          <w:sz w:val="28"/>
        </w:rPr>
        <w:t xml:space="preserve"> учреждений</w:t>
      </w:r>
      <w:r>
        <w:rPr>
          <w:rFonts w:ascii="Times New Roman" w:hAnsi="Times New Roman"/>
          <w:sz w:val="28"/>
        </w:rPr>
        <w:t>, находящихся в ведении администрации города Байконур (далее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соответственно </w:t>
      </w:r>
      <w:r>
        <w:rPr>
          <w:rFonts w:ascii="Times New Roman" w:hAnsi="Times New Roman"/>
          <w:sz w:val="28"/>
        </w:rPr>
        <w:t>– Предприятие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Бюджетное у</w:t>
      </w:r>
      <w:r>
        <w:rPr>
          <w:rFonts w:ascii="Times New Roman" w:hAnsi="Times New Roman"/>
          <w:sz w:val="28"/>
        </w:rPr>
        <w:t>чреждение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Казенное учреждение,</w:t>
      </w:r>
      <w:r>
        <w:rPr>
          <w:rFonts w:ascii="Times New Roman" w:hAnsi="Times New Roman"/>
          <w:sz w:val="28"/>
        </w:rPr>
        <w:t xml:space="preserve"> вместе – Заявители)</w:t>
      </w:r>
      <w:r>
        <w:rPr>
          <w:rFonts w:ascii="Times New Roman" w:hAnsi="Times New Roman"/>
          <w:i w:val="1"/>
          <w:sz w:val="28"/>
        </w:rPr>
        <w:t xml:space="preserve">. </w:t>
      </w: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Порядок разработан 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</w:t>
      </w:r>
      <w:r>
        <w:rPr>
          <w:rFonts w:ascii="Times New Roman" w:hAnsi="Times New Roman"/>
          <w:sz w:val="28"/>
        </w:rPr>
        <w:t>льной власти от </w:t>
      </w:r>
      <w:r>
        <w:rPr>
          <w:rFonts w:ascii="Times New Roman" w:hAnsi="Times New Roman"/>
          <w:sz w:val="28"/>
        </w:rPr>
        <w:t>23 декабря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1995 </w:t>
      </w:r>
      <w:r>
        <w:rPr>
          <w:rFonts w:ascii="Times New Roman" w:hAnsi="Times New Roman"/>
          <w:sz w:val="28"/>
        </w:rPr>
        <w:t xml:space="preserve">г., в соответствии с Договором аренды комплекса «Байконур» между Правительством Российской Федерации и Правительством Республики Казахстан от 10 декабря </w:t>
      </w:r>
      <w:r>
        <w:rPr>
          <w:rFonts w:ascii="Times New Roman" w:hAnsi="Times New Roman"/>
          <w:sz w:val="28"/>
        </w:rPr>
        <w:t>1994 г</w:t>
      </w:r>
      <w:r>
        <w:rPr>
          <w:rFonts w:ascii="Times New Roman" w:hAnsi="Times New Roman"/>
          <w:sz w:val="28"/>
        </w:rPr>
        <w:t xml:space="preserve">., Гражданским кодексом Российской Федерации, </w:t>
      </w:r>
      <w:r>
        <w:rPr>
          <w:rFonts w:ascii="Times New Roman" w:hAnsi="Times New Roman"/>
          <w:sz w:val="28"/>
        </w:rPr>
        <w:t xml:space="preserve">Федеральным законом от 12 января </w:t>
      </w:r>
      <w:r>
        <w:rPr>
          <w:rFonts w:ascii="Times New Roman" w:hAnsi="Times New Roman"/>
          <w:sz w:val="28"/>
        </w:rPr>
        <w:t>1996 г</w:t>
      </w:r>
      <w:r>
        <w:rPr>
          <w:rFonts w:ascii="Times New Roman" w:hAnsi="Times New Roman"/>
          <w:sz w:val="28"/>
        </w:rPr>
        <w:t>. № 7-ФЗ «О некоммерческих организациях» (с изменениями)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Федеральным законом от 14 ноября </w:t>
      </w:r>
      <w:r>
        <w:rPr>
          <w:rFonts w:ascii="Times New Roman" w:hAnsi="Times New Roman"/>
          <w:sz w:val="28"/>
        </w:rPr>
        <w:t>2002 г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№ 161-ФЗ «О государственных и муниципальных унитарных предприятиях»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(с изменениями),</w:t>
      </w:r>
      <w:r>
        <w:rPr>
          <w:rFonts w:ascii="Times New Roman" w:hAnsi="Times New Roman"/>
          <w:sz w:val="28"/>
        </w:rPr>
        <w:t xml:space="preserve"> в целях обеспечения защиты имущественных прав администрации </w:t>
      </w:r>
      <w:r>
        <w:rPr>
          <w:rFonts w:ascii="Times New Roman" w:hAnsi="Times New Roman"/>
          <w:sz w:val="28"/>
        </w:rPr>
        <w:t xml:space="preserve">города Байконур в процессе финансово-хозяйственной деятельности </w:t>
      </w:r>
      <w:r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и определения последовательности реализации </w:t>
      </w:r>
      <w:r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</w:rPr>
        <w:t xml:space="preserve"> прав на совершение сделок.</w:t>
      </w: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Действие Порядка не распространяется на сделки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имуществом</w:t>
      </w:r>
      <w:r>
        <w:rPr>
          <w:rFonts w:ascii="Times New Roman" w:hAnsi="Times New Roman"/>
          <w:sz w:val="28"/>
        </w:rPr>
        <w:t xml:space="preserve">, находящимся в собственности Республики Казахстан, используемым </w:t>
      </w:r>
      <w:r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в соответствии с Договором аренды комплекса «Байконур» между Правительством Российской Федерации и Правительством Республики Казахстан от 10 декабря </w:t>
      </w:r>
      <w:r>
        <w:rPr>
          <w:rFonts w:ascii="Times New Roman" w:hAnsi="Times New Roman"/>
          <w:sz w:val="28"/>
        </w:rPr>
        <w:t>1994 г</w:t>
      </w:r>
      <w:r>
        <w:rPr>
          <w:rFonts w:ascii="Times New Roman" w:hAnsi="Times New Roman"/>
          <w:sz w:val="28"/>
        </w:rPr>
        <w:t>., другими международными нормативными правовыми актами по комплексу «Байконур»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1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7000000">
      <w:pPr>
        <w:numPr>
          <w:ilvl w:val="0"/>
          <w:numId w:val="1"/>
        </w:numPr>
        <w:tabs>
          <w:tab w:leader="none" w:pos="42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сделок Предприятия, требующих согласования</w:t>
      </w:r>
    </w:p>
    <w:p w14:paraId="18000000">
      <w:pPr>
        <w:spacing w:after="0" w:line="240" w:lineRule="auto"/>
        <w:ind w:firstLine="0" w:left="709"/>
        <w:jc w:val="both"/>
        <w:rPr>
          <w:rFonts w:ascii="Times New Roman" w:hAnsi="Times New Roman"/>
          <w:sz w:val="28"/>
        </w:rPr>
      </w:pPr>
    </w:p>
    <w:p w14:paraId="19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Крупные сделки.</w:t>
      </w:r>
    </w:p>
    <w:p w14:paraId="1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Крупной сделкой считается сделка или несколько взаимосвязанных сделок, связанных с приобретением, отчуждением или возможностью отчуждения Предприятием прямо либо косвенно имущества, цена или балансовая стоимость которого составляет более десяти процентов уставного фонда Предприятия, если иное не установлено федеральными законами или принятыми в соответствии с ними правовыми актами.</w:t>
      </w:r>
    </w:p>
    <w:p w14:paraId="1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bookmarkStart w:id="1" w:name="dst94"/>
      <w:bookmarkEnd w:id="1"/>
      <w:r>
        <w:rPr>
          <w:rFonts w:ascii="Times New Roman" w:hAnsi="Times New Roman"/>
          <w:sz w:val="28"/>
        </w:rPr>
        <w:t>В случае отчуждения или возникновения возможности отчуждения имущества с уставным фондом Предприятия сопоставляется наибольшая из двух величин: цена отчуждения указанного имущества или его балансовая стоимость. В случае приобретения Предприятием имущества с уставным фондом Предприятия сопоставляется цена приобретения указанного имущества.</w:t>
      </w:r>
    </w:p>
    <w:p w14:paraId="1C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</w:t>
      </w:r>
      <w:r>
        <w:rPr>
          <w:rFonts w:ascii="Times New Roman" w:hAnsi="Times New Roman"/>
          <w:sz w:val="28"/>
        </w:rPr>
        <w:t xml:space="preserve"> на </w:t>
      </w:r>
      <w:r>
        <w:rPr>
          <w:rFonts w:ascii="Times New Roman" w:hAnsi="Times New Roman"/>
          <w:sz w:val="28"/>
        </w:rPr>
        <w:t>сумм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более десяти процентов уставного фонда Предприятия, </w:t>
      </w:r>
      <w:r>
        <w:rPr>
          <w:rFonts w:ascii="Times New Roman" w:hAnsi="Times New Roman"/>
          <w:sz w:val="28"/>
        </w:rPr>
        <w:t>осуществляемые в рамках хозяйственной деятельности Предприятия для обеспечения существующего производственного процесса:</w:t>
      </w:r>
      <w:r>
        <w:rPr>
          <w:rFonts w:ascii="Times New Roman" w:hAnsi="Times New Roman"/>
          <w:sz w:val="28"/>
        </w:rPr>
        <w:t xml:space="preserve"> </w:t>
      </w:r>
    </w:p>
    <w:p w14:paraId="1D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содержанию, организации и управлению производством, в том числе связанные с ремонтом, модернизацией и техническим перевооружением; </w:t>
      </w:r>
    </w:p>
    <w:p w14:paraId="1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приобретению имущества (</w:t>
      </w:r>
      <w:r>
        <w:rPr>
          <w:rFonts w:ascii="Times New Roman" w:hAnsi="Times New Roman"/>
          <w:sz w:val="28"/>
        </w:rPr>
        <w:t xml:space="preserve">оборудования, запасных частей и комплектующих, </w:t>
      </w:r>
      <w:r>
        <w:rPr>
          <w:rFonts w:ascii="Times New Roman" w:hAnsi="Times New Roman"/>
          <w:sz w:val="28"/>
        </w:rPr>
        <w:t xml:space="preserve">сырья, материалов), непосредственно используемого для производства продукции (выполнения работ и оказания услуг); </w:t>
      </w:r>
    </w:p>
    <w:p w14:paraId="1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реализации произведенной Предприятием продукции (реализации товаров, выполнении работ, оказанию услуг); </w:t>
      </w:r>
    </w:p>
    <w:p w14:paraId="2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обеспечению производственно-хозяйственной деятельности Предприятия (приобретение хозяйственного инвентаря, материалов смешанного ассортимента, энергоресурсов, горюче-смазочных и иных расходных материалов). </w:t>
      </w:r>
    </w:p>
    <w:p w14:paraId="21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 Предприятия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являю</w:t>
      </w:r>
      <w:r>
        <w:rPr>
          <w:rFonts w:ascii="Times New Roman" w:hAnsi="Times New Roman"/>
          <w:sz w:val="28"/>
        </w:rPr>
        <w:t>щие</w:t>
      </w:r>
      <w:r>
        <w:rPr>
          <w:rFonts w:ascii="Times New Roman" w:hAnsi="Times New Roman"/>
          <w:sz w:val="28"/>
        </w:rPr>
        <w:t>ся</w:t>
      </w:r>
      <w:r>
        <w:rPr>
          <w:rFonts w:ascii="Times New Roman" w:hAnsi="Times New Roman"/>
          <w:sz w:val="28"/>
        </w:rPr>
        <w:t xml:space="preserve"> взаимосвязанными, если:</w:t>
      </w:r>
    </w:p>
    <w:p w14:paraId="22000000">
      <w:pPr>
        <w:spacing w:after="0" w:line="240" w:lineRule="auto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сторонами сделок являются одни и те же либо взаимозависимые лица; </w:t>
      </w:r>
    </w:p>
    <w:p w14:paraId="23000000">
      <w:pPr>
        <w:spacing w:after="0" w:line="240" w:lineRule="auto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сделки имеют однородный предмет, совершены за непродолжительный период времени (квартал); </w:t>
      </w:r>
    </w:p>
    <w:p w14:paraId="24000000">
      <w:pPr>
        <w:spacing w:after="0" w:line="240" w:lineRule="auto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денежные средства, полученные от сделок, направлены на решение единой задачи либо одна или несколько сделок обеспечивают исполнение одного обязательства</w:t>
      </w:r>
      <w:r>
        <w:rPr>
          <w:rFonts w:ascii="Times New Roman" w:hAnsi="Times New Roman"/>
          <w:sz w:val="28"/>
        </w:rPr>
        <w:t>;</w:t>
      </w:r>
    </w:p>
    <w:p w14:paraId="25000000">
      <w:pPr>
        <w:spacing w:after="0" w:line="240" w:lineRule="auto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сделки, по которым приобретается или отчуждается имущество, связанное единым технологическим процессом</w:t>
      </w:r>
      <w:r>
        <w:rPr>
          <w:rFonts w:ascii="Times New Roman" w:hAnsi="Times New Roman"/>
          <w:sz w:val="28"/>
        </w:rPr>
        <w:t>;</w:t>
      </w:r>
    </w:p>
    <w:p w14:paraId="26000000">
      <w:pPr>
        <w:spacing w:after="0" w:line="240" w:lineRule="auto"/>
        <w:ind w:firstLine="709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сделки, преследующие цели концентрации такого имущества в собственности одного лица.</w:t>
      </w:r>
    </w:p>
    <w:p w14:paraId="27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Сделки, в совершении которых имеется заинтересованность руководителя Предприятия. Это сделка (в том числе заем, кредит, залог, поручительство), которая характеризуется наличием заинтересованности (возможной личной выгоды) руководителя Предприятия в совершении им такой сделки и для которой предусмотрен особый порядок совершения. </w:t>
      </w:r>
    </w:p>
    <w:p w14:paraId="2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Руководитель Предприятия признается заинтересованным в совершении Предприятием сделки в случаях, если он, его супруг(а), родители, дети, братья, сестры и (или) их аффилированные лица, признаваемые таковыми в соответствии с законодательством Российской Федерации: </w:t>
      </w:r>
    </w:p>
    <w:p w14:paraId="2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являются стороной сделки или выступают в интересах третьих лиц в их отношениях с Предприятием; </w:t>
      </w:r>
    </w:p>
    <w:p w14:paraId="2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владеют (каждый в отдельности или в совокупности) двадцатью и более процентами акций (долей, паев) юридического лица, являющегося стороной сделки или выступающего в интересах третьих лиц в их отношениях с Предприятием; </w:t>
      </w:r>
    </w:p>
    <w:p w14:paraId="2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занимают должности в органах управления юридического лица, являющегося стороной сделки или выступающего в интересах третьих лиц в отношениях с Предприятием;</w:t>
      </w:r>
    </w:p>
    <w:p w14:paraId="2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иных определенных уставом </w:t>
      </w:r>
      <w:r>
        <w:rPr>
          <w:rFonts w:ascii="Times New Roman" w:hAnsi="Times New Roman"/>
          <w:sz w:val="28"/>
        </w:rPr>
        <w:t>Предприятия</w:t>
      </w:r>
      <w:r>
        <w:rPr>
          <w:rFonts w:ascii="Times New Roman" w:hAnsi="Times New Roman"/>
          <w:sz w:val="28"/>
        </w:rPr>
        <w:t xml:space="preserve"> случаях.</w:t>
      </w:r>
    </w:p>
    <w:p w14:paraId="2D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Сделки, связанные с предоставлением займов, поручительств, получением банковских гарантий, с иными обременениями, уступкой требований, переводом долга</w:t>
      </w:r>
      <w:r>
        <w:rPr>
          <w:rFonts w:ascii="Times New Roman" w:hAnsi="Times New Roman"/>
          <w:sz w:val="28"/>
        </w:rPr>
        <w:t xml:space="preserve">, договорами </w:t>
      </w:r>
      <w:r>
        <w:rPr>
          <w:rFonts w:ascii="Times New Roman" w:hAnsi="Times New Roman"/>
          <w:sz w:val="28"/>
        </w:rPr>
        <w:t>простого товарищества</w:t>
      </w:r>
      <w:r>
        <w:rPr>
          <w:rFonts w:ascii="Times New Roman" w:hAnsi="Times New Roman"/>
          <w:sz w:val="28"/>
        </w:rPr>
        <w:t xml:space="preserve">. </w:t>
      </w:r>
    </w:p>
    <w:p w14:paraId="2E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Сделки об участии Предприятия в иных юридических лицах,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ассоциациях и других объединениях коммерческих организаций</w:t>
      </w:r>
      <w:r>
        <w:rPr>
          <w:rFonts w:ascii="Times New Roman" w:hAnsi="Times New Roman"/>
          <w:sz w:val="28"/>
        </w:rPr>
        <w:t>.</w:t>
      </w:r>
    </w:p>
    <w:p w14:paraId="2F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Сделки, связанные с осуществлением заимствований Предприятием. Согласованию подлежат объем заимствования и направления использования привлекаемых средств.</w:t>
      </w:r>
    </w:p>
    <w:p w14:paraId="3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1000000">
      <w:pPr>
        <w:numPr>
          <w:ilvl w:val="0"/>
          <w:numId w:val="1"/>
        </w:numPr>
        <w:tabs>
          <w:tab w:leader="none" w:pos="42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сделок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чреждения, требующих согласования (одобрения)</w:t>
      </w:r>
    </w:p>
    <w:p w14:paraId="3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3000000">
      <w:pPr>
        <w:numPr>
          <w:ilvl w:val="1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Крупные сделки</w:t>
      </w:r>
      <w:r>
        <w:rPr>
          <w:rFonts w:ascii="Times New Roman" w:hAnsi="Times New Roman"/>
          <w:sz w:val="28"/>
        </w:rPr>
        <w:t>.</w:t>
      </w:r>
    </w:p>
    <w:p w14:paraId="3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рупной сделкой признается сделка или несколько </w:t>
      </w:r>
      <w:r>
        <w:rPr>
          <w:rFonts w:ascii="Times New Roman" w:hAnsi="Times New Roman"/>
          <w:sz w:val="28"/>
        </w:rPr>
        <w:t xml:space="preserve">взаимосвязанных сделок, связанных </w:t>
      </w:r>
      <w:r>
        <w:rPr>
          <w:rFonts w:ascii="Times New Roman" w:hAnsi="Times New Roman"/>
          <w:sz w:val="28"/>
        </w:rPr>
        <w:t xml:space="preserve">с распоряжением денежными средствами, отчуждением иного имущества,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 xml:space="preserve">чреждения, определяемой по данным его бухгалтерской отчетности на последнюю отчетную дату, если уставом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 xml:space="preserve">чреждения </w:t>
      </w:r>
      <w:r>
        <w:rPr>
          <w:rFonts w:ascii="Times New Roman" w:hAnsi="Times New Roman"/>
          <w:sz w:val="28"/>
        </w:rPr>
        <w:t>не предусмотрен меньший размер крупной сделки.</w:t>
      </w:r>
    </w:p>
    <w:p w14:paraId="35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Сделки по </w:t>
      </w:r>
      <w:r>
        <w:rPr>
          <w:rFonts w:ascii="Times New Roman" w:hAnsi="Times New Roman"/>
          <w:sz w:val="28"/>
        </w:rPr>
        <w:t>сдаче в аренду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распоряжению особо ценным движимым имуществом, закрепленным за </w:t>
      </w:r>
      <w:r>
        <w:rPr>
          <w:rFonts w:ascii="Times New Roman" w:hAnsi="Times New Roman"/>
          <w:sz w:val="28"/>
        </w:rPr>
        <w:t>Бюджетн</w:t>
      </w:r>
      <w:r>
        <w:rPr>
          <w:rFonts w:ascii="Times New Roman" w:hAnsi="Times New Roman"/>
          <w:sz w:val="28"/>
        </w:rPr>
        <w:t>ым</w:t>
      </w:r>
      <w:r>
        <w:rPr>
          <w:rFonts w:ascii="Times New Roman" w:hAnsi="Times New Roman"/>
          <w:sz w:val="28"/>
        </w:rPr>
        <w:t xml:space="preserve"> у</w:t>
      </w:r>
      <w:r>
        <w:rPr>
          <w:rFonts w:ascii="Times New Roman" w:hAnsi="Times New Roman"/>
          <w:sz w:val="28"/>
        </w:rPr>
        <w:t>чреждени</w:t>
      </w:r>
      <w:r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или приобретенным </w:t>
      </w:r>
      <w:r>
        <w:rPr>
          <w:rFonts w:ascii="Times New Roman" w:hAnsi="Times New Roman"/>
          <w:sz w:val="28"/>
        </w:rPr>
        <w:t>Бюджетн</w:t>
      </w:r>
      <w:r>
        <w:rPr>
          <w:rFonts w:ascii="Times New Roman" w:hAnsi="Times New Roman"/>
          <w:sz w:val="28"/>
        </w:rPr>
        <w:t>ым</w:t>
      </w:r>
      <w:r>
        <w:rPr>
          <w:rFonts w:ascii="Times New Roman" w:hAnsi="Times New Roman"/>
          <w:sz w:val="28"/>
        </w:rPr>
        <w:t xml:space="preserve"> у</w:t>
      </w:r>
      <w:r>
        <w:rPr>
          <w:rFonts w:ascii="Times New Roman" w:hAnsi="Times New Roman"/>
          <w:sz w:val="28"/>
        </w:rPr>
        <w:t>чреждени</w:t>
      </w:r>
      <w:r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 счет средств, выделенных ему собственником </w:t>
      </w:r>
      <w:r>
        <w:rPr>
          <w:rFonts w:ascii="Times New Roman" w:hAnsi="Times New Roman"/>
          <w:sz w:val="28"/>
        </w:rPr>
        <w:t xml:space="preserve">имущества </w:t>
      </w:r>
      <w:r>
        <w:rPr>
          <w:rFonts w:ascii="Times New Roman" w:hAnsi="Times New Roman"/>
          <w:sz w:val="28"/>
        </w:rPr>
        <w:t xml:space="preserve">на приобретение такого имущества, а </w:t>
      </w:r>
      <w:r>
        <w:rPr>
          <w:rFonts w:ascii="Times New Roman" w:hAnsi="Times New Roman"/>
          <w:sz w:val="28"/>
        </w:rPr>
        <w:t xml:space="preserve">также </w:t>
      </w:r>
      <w:r>
        <w:rPr>
          <w:rFonts w:ascii="Times New Roman" w:hAnsi="Times New Roman"/>
          <w:sz w:val="28"/>
        </w:rPr>
        <w:t xml:space="preserve">сделки по </w:t>
      </w:r>
      <w:r>
        <w:rPr>
          <w:rFonts w:ascii="Times New Roman" w:hAnsi="Times New Roman"/>
          <w:sz w:val="28"/>
        </w:rPr>
        <w:t xml:space="preserve">сдаче в аренду, </w:t>
      </w:r>
      <w:r>
        <w:rPr>
          <w:rFonts w:ascii="Times New Roman" w:hAnsi="Times New Roman"/>
          <w:sz w:val="28"/>
        </w:rPr>
        <w:t>распоряжению недвижимым имуществом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>.</w:t>
      </w:r>
    </w:p>
    <w:p w14:paraId="36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 по передаче некоммерческим организациям в качестве их учредителя (участника) денежных</w:t>
      </w:r>
      <w:r>
        <w:rPr>
          <w:rFonts w:ascii="Times New Roman" w:hAnsi="Times New Roman"/>
          <w:sz w:val="28"/>
        </w:rPr>
        <w:t xml:space="preserve"> средств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>.</w:t>
      </w:r>
    </w:p>
    <w:p w14:paraId="37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делки, в совершении котор</w:t>
      </w:r>
      <w:r>
        <w:rPr>
          <w:rFonts w:ascii="Times New Roman" w:hAnsi="Times New Roman"/>
          <w:sz w:val="28"/>
        </w:rPr>
        <w:t>ых</w:t>
      </w:r>
      <w:r>
        <w:rPr>
          <w:rFonts w:ascii="Times New Roman" w:hAnsi="Times New Roman"/>
          <w:sz w:val="28"/>
        </w:rPr>
        <w:t xml:space="preserve"> имеется заинтересованность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руководителя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>.</w:t>
      </w:r>
    </w:p>
    <w:p w14:paraId="3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Заинтересованным в совершении тех или иных действий, в том числе сделок, с другими организациями или гражданами, призна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тся руководитель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если </w:t>
      </w:r>
      <w:r>
        <w:rPr>
          <w:rFonts w:ascii="Times New Roman" w:hAnsi="Times New Roman"/>
          <w:sz w:val="28"/>
        </w:rPr>
        <w:t xml:space="preserve">он </w:t>
      </w:r>
      <w:r>
        <w:rPr>
          <w:rFonts w:ascii="Times New Roman" w:hAnsi="Times New Roman"/>
          <w:sz w:val="28"/>
        </w:rPr>
        <w:t>состо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 с этими организациями или гражданами в трудовых отношениях, явля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тся участник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>, кредитор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этих организаций либо состо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 с этими гражданами в близких родственных отношениях или явля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тся кредитор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этих граждан. При этом указанные организации или граждане являются поставщиками товаров (услуг) для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 xml:space="preserve">, крупными потребителями товаров (услуг), производимых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владеют имуществом, которое полностью или частично образовано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 xml:space="preserve">, или могут извлекать выгоду из пользования, распоряжения имуществом </w:t>
      </w:r>
      <w:r>
        <w:rPr>
          <w:rFonts w:ascii="Times New Roman" w:hAnsi="Times New Roman"/>
          <w:sz w:val="28"/>
        </w:rPr>
        <w:t>Бюджетного у</w:t>
      </w:r>
      <w:r>
        <w:rPr>
          <w:rFonts w:ascii="Times New Roman" w:hAnsi="Times New Roman"/>
          <w:sz w:val="28"/>
        </w:rPr>
        <w:t>чреждения</w:t>
      </w:r>
      <w:r>
        <w:rPr>
          <w:rFonts w:ascii="Times New Roman" w:hAnsi="Times New Roman"/>
          <w:sz w:val="28"/>
        </w:rPr>
        <w:t>.</w:t>
      </w:r>
    </w:p>
    <w:p w14:paraId="3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A000000">
      <w:pPr>
        <w:numPr>
          <w:ilvl w:val="0"/>
          <w:numId w:val="1"/>
        </w:numPr>
        <w:tabs>
          <w:tab w:leader="none" w:pos="42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сделок Казенного учреждения, требующих согласования</w:t>
      </w:r>
    </w:p>
    <w:p w14:paraId="3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C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Сделки, связанны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 </w:t>
      </w:r>
      <w:r>
        <w:rPr>
          <w:rFonts w:ascii="Times New Roman" w:hAnsi="Times New Roman"/>
          <w:sz w:val="28"/>
        </w:rPr>
        <w:t xml:space="preserve">отчуждением либо </w:t>
      </w:r>
      <w:r>
        <w:rPr>
          <w:rFonts w:ascii="Times New Roman" w:hAnsi="Times New Roman"/>
          <w:sz w:val="28"/>
        </w:rPr>
        <w:t>распоряжением имуществом, закрепленным за Казенным учреждением</w:t>
      </w:r>
      <w:r>
        <w:rPr>
          <w:rFonts w:ascii="Times New Roman" w:hAnsi="Times New Roman"/>
          <w:sz w:val="28"/>
        </w:rPr>
        <w:t xml:space="preserve"> на праве оперативного управления</w:t>
      </w:r>
      <w:r>
        <w:rPr>
          <w:rFonts w:ascii="Times New Roman" w:hAnsi="Times New Roman"/>
          <w:sz w:val="28"/>
        </w:rPr>
        <w:t>.</w:t>
      </w:r>
    </w:p>
    <w:p w14:paraId="3D000000">
      <w:pPr>
        <w:spacing w:after="0" w:line="240" w:lineRule="auto"/>
        <w:ind w:firstLine="0"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3E000000">
      <w:pPr>
        <w:spacing w:after="0" w:line="240" w:lineRule="auto"/>
        <w:ind w:firstLine="0" w:left="709"/>
        <w:jc w:val="both"/>
        <w:rPr>
          <w:rFonts w:ascii="Times New Roman" w:hAnsi="Times New Roman"/>
          <w:sz w:val="28"/>
        </w:rPr>
      </w:pPr>
    </w:p>
    <w:p w14:paraId="3F000000">
      <w:pPr>
        <w:numPr>
          <w:ilvl w:val="0"/>
          <w:numId w:val="1"/>
        </w:numPr>
        <w:tabs>
          <w:tab w:leader="none" w:pos="42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согласования </w:t>
      </w:r>
      <w:r>
        <w:rPr>
          <w:rFonts w:ascii="Times New Roman" w:hAnsi="Times New Roman"/>
          <w:sz w:val="28"/>
        </w:rPr>
        <w:t xml:space="preserve">(одобрения) </w:t>
      </w:r>
      <w:r>
        <w:rPr>
          <w:rFonts w:ascii="Times New Roman" w:hAnsi="Times New Roman"/>
          <w:sz w:val="28"/>
        </w:rPr>
        <w:t>сделок</w:t>
      </w:r>
    </w:p>
    <w:p w14:paraId="40000000">
      <w:pPr>
        <w:spacing w:after="0" w:line="240" w:lineRule="auto"/>
        <w:ind w:firstLine="709" w:left="0"/>
        <w:jc w:val="center"/>
        <w:rPr>
          <w:rFonts w:ascii="Times New Roman" w:hAnsi="Times New Roman"/>
          <w:sz w:val="28"/>
        </w:rPr>
      </w:pPr>
    </w:p>
    <w:p w14:paraId="41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Согласование сделки осуществляется до заключения сделки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42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том случае, если в соответствии с законодательством Российской Федерации заключению сделки должно предшествовать проведение торгов</w:t>
      </w:r>
      <w:r>
        <w:rPr>
          <w:rFonts w:ascii="Times New Roman" w:hAnsi="Times New Roman"/>
          <w:sz w:val="28"/>
        </w:rPr>
        <w:t xml:space="preserve">, согласование сделки осуществляется </w:t>
      </w:r>
      <w:r>
        <w:rPr>
          <w:rFonts w:ascii="Times New Roman" w:hAnsi="Times New Roman"/>
          <w:sz w:val="28"/>
        </w:rPr>
        <w:t xml:space="preserve">до размещения </w:t>
      </w:r>
      <w:r>
        <w:rPr>
          <w:rFonts w:ascii="Times New Roman" w:hAnsi="Times New Roman"/>
          <w:sz w:val="28"/>
        </w:rPr>
        <w:t xml:space="preserve">информации </w:t>
      </w:r>
      <w:r>
        <w:rPr>
          <w:rFonts w:ascii="Times New Roman" w:hAnsi="Times New Roman"/>
          <w:sz w:val="28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или до размещения </w:t>
      </w:r>
      <w:r>
        <w:rPr>
          <w:rFonts w:ascii="Times New Roman" w:hAnsi="Times New Roman"/>
          <w:sz w:val="28"/>
        </w:rPr>
        <w:t>извещения о закупке в единой информационной системе в сфере закупок товаров, работ, услуг для обеспечения государственных и муниципальных ну</w:t>
      </w:r>
      <w:r>
        <w:rPr>
          <w:rFonts w:ascii="Times New Roman" w:hAnsi="Times New Roman"/>
          <w:sz w:val="28"/>
        </w:rPr>
        <w:t>жд</w:t>
      </w:r>
      <w:r>
        <w:rPr>
          <w:rFonts w:ascii="Times New Roman" w:hAnsi="Times New Roman"/>
          <w:sz w:val="28"/>
        </w:rPr>
        <w:t>.</w:t>
      </w:r>
    </w:p>
    <w:p w14:paraId="43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Согласование взаимосвязанных сделок Предприятия осуществляется</w:t>
      </w:r>
      <w:r>
        <w:rPr>
          <w:rFonts w:ascii="Times New Roman" w:hAnsi="Times New Roman"/>
          <w:sz w:val="28"/>
        </w:rPr>
        <w:t xml:space="preserve"> в срок не позднее месяца после окончания квартала, в течение которого достигнуты условия, указанные в абзаце втором пункта 2.1 Порядка.</w:t>
      </w:r>
    </w:p>
    <w:p w14:paraId="44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получения согласия на совершение сделок, указанных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раздел</w:t>
      </w:r>
      <w:r>
        <w:rPr>
          <w:rFonts w:ascii="Times New Roman" w:hAnsi="Times New Roman"/>
          <w:sz w:val="28"/>
        </w:rPr>
        <w:t>ах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, 3</w:t>
      </w:r>
      <w:r>
        <w:rPr>
          <w:rFonts w:ascii="Times New Roman" w:hAnsi="Times New Roman"/>
          <w:sz w:val="28"/>
        </w:rPr>
        <w:t>, 4</w:t>
      </w:r>
      <w:r>
        <w:rPr>
          <w:rFonts w:ascii="Times New Roman" w:hAnsi="Times New Roman"/>
          <w:sz w:val="28"/>
        </w:rPr>
        <w:t xml:space="preserve"> Порядка, </w:t>
      </w:r>
      <w:r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направляет </w:t>
      </w:r>
      <w:r>
        <w:rPr>
          <w:rFonts w:ascii="Times New Roman" w:hAnsi="Times New Roman"/>
          <w:sz w:val="28"/>
        </w:rPr>
        <w:t xml:space="preserve">на имя председателя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</w:t>
      </w:r>
      <w:r>
        <w:rPr>
          <w:rFonts w:ascii="Times New Roman" w:hAnsi="Times New Roman"/>
          <w:sz w:val="28"/>
        </w:rPr>
        <w:t>по согласованию (одобрению) сделок государственных унитарных предприятий и учреждений, находящихся в ведении администрации города Байконур (далее – Комиссия)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заявление по форме согласно приложению №1 к Порядку (далее – заявление). Каждая из сделок согласовывается отдельно</w:t>
      </w:r>
      <w:r>
        <w:rPr>
          <w:rFonts w:ascii="Times New Roman" w:hAnsi="Times New Roman"/>
          <w:sz w:val="28"/>
        </w:rPr>
        <w:t>, исключение составляют взаимосвязанные сделки</w:t>
      </w:r>
      <w:r>
        <w:rPr>
          <w:rFonts w:ascii="Times New Roman" w:hAnsi="Times New Roman"/>
          <w:sz w:val="28"/>
        </w:rPr>
        <w:t>.</w:t>
      </w:r>
    </w:p>
    <w:p w14:paraId="45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bookmarkStart w:id="2" w:name="Par67"/>
      <w:bookmarkEnd w:id="2"/>
      <w:r>
        <w:rPr>
          <w:rFonts w:ascii="Times New Roman" w:hAnsi="Times New Roman"/>
          <w:sz w:val="28"/>
        </w:rPr>
        <w:t>К заявлению прилагаются следующие документы:</w:t>
      </w:r>
    </w:p>
    <w:p w14:paraId="46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.4.1. Т</w:t>
      </w:r>
      <w:r>
        <w:rPr>
          <w:rFonts w:ascii="Times New Roman" w:hAnsi="Times New Roman"/>
          <w:sz w:val="28"/>
        </w:rPr>
        <w:t>ехнико-экономическое обоснование сделки, содержащее</w:t>
      </w:r>
      <w:r>
        <w:rPr>
          <w:rFonts w:ascii="Times New Roman" w:hAnsi="Times New Roman"/>
          <w:sz w:val="28"/>
        </w:rPr>
        <w:t xml:space="preserve"> подробную расшифровку сведений, указанных в заявлении, с приложением подтверждающих документов, в том числе</w:t>
      </w:r>
      <w:r>
        <w:rPr>
          <w:rFonts w:ascii="Times New Roman" w:hAnsi="Times New Roman"/>
          <w:sz w:val="28"/>
        </w:rPr>
        <w:t>:</w:t>
      </w:r>
    </w:p>
    <w:p w14:paraId="4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вид, предмет</w:t>
      </w:r>
      <w:r>
        <w:rPr>
          <w:rFonts w:ascii="Times New Roman" w:hAnsi="Times New Roman"/>
          <w:sz w:val="28"/>
        </w:rPr>
        <w:t>, цель</w:t>
      </w:r>
      <w:r>
        <w:rPr>
          <w:rFonts w:ascii="Times New Roman" w:hAnsi="Times New Roman"/>
          <w:sz w:val="28"/>
        </w:rPr>
        <w:t xml:space="preserve"> и условия сделки</w:t>
      </w:r>
      <w:r>
        <w:rPr>
          <w:rFonts w:ascii="Times New Roman" w:hAnsi="Times New Roman"/>
          <w:sz w:val="28"/>
        </w:rPr>
        <w:t xml:space="preserve"> – с </w:t>
      </w:r>
      <w:r>
        <w:rPr>
          <w:rFonts w:ascii="Times New Roman" w:hAnsi="Times New Roman"/>
          <w:sz w:val="28"/>
        </w:rPr>
        <w:t>обоснование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необходимости и </w:t>
      </w:r>
      <w:r>
        <w:rPr>
          <w:rFonts w:ascii="Times New Roman" w:hAnsi="Times New Roman"/>
          <w:sz w:val="28"/>
        </w:rPr>
        <w:t>целесообразности совершения сделки</w:t>
      </w:r>
      <w:r>
        <w:rPr>
          <w:rFonts w:ascii="Times New Roman" w:hAnsi="Times New Roman"/>
          <w:sz w:val="28"/>
        </w:rPr>
        <w:t xml:space="preserve"> с учетом указанных условий</w:t>
      </w:r>
      <w:r>
        <w:rPr>
          <w:rFonts w:ascii="Times New Roman" w:hAnsi="Times New Roman"/>
          <w:sz w:val="28"/>
        </w:rPr>
        <w:t>;</w:t>
      </w:r>
    </w:p>
    <w:p w14:paraId="48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цена сделки – </w:t>
      </w:r>
      <w:r>
        <w:rPr>
          <w:rFonts w:ascii="Times New Roman" w:hAnsi="Times New Roman"/>
          <w:sz w:val="28"/>
        </w:rPr>
        <w:t xml:space="preserve">расшифровка </w:t>
      </w:r>
      <w:r>
        <w:rPr>
          <w:rFonts w:ascii="Times New Roman" w:hAnsi="Times New Roman"/>
          <w:sz w:val="28"/>
        </w:rPr>
        <w:t>состав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цены </w:t>
      </w:r>
      <w:r>
        <w:rPr>
          <w:rFonts w:ascii="Times New Roman" w:hAnsi="Times New Roman"/>
          <w:sz w:val="28"/>
        </w:rPr>
        <w:t>с обязательным указанием сумм налогов, сборов и иных обязательных платежей, входящих в состав цены сделки</w:t>
      </w:r>
      <w:r>
        <w:rPr>
          <w:rFonts w:ascii="Times New Roman" w:hAnsi="Times New Roman"/>
          <w:sz w:val="28"/>
        </w:rPr>
        <w:t>. В случаях, установленных законодательством Российской Федерации о конт</w:t>
      </w:r>
      <w:r>
        <w:rPr>
          <w:rFonts w:ascii="Times New Roman" w:hAnsi="Times New Roman"/>
          <w:sz w:val="28"/>
        </w:rPr>
        <w:t xml:space="preserve">рактной системе, </w:t>
      </w:r>
      <w:r>
        <w:rPr>
          <w:rFonts w:ascii="Times New Roman" w:hAnsi="Times New Roman"/>
          <w:sz w:val="28"/>
        </w:rPr>
        <w:t xml:space="preserve">обоснование установленной цены сделки </w:t>
      </w:r>
      <w:r>
        <w:rPr>
          <w:rFonts w:ascii="Times New Roman" w:hAnsi="Times New Roman"/>
          <w:sz w:val="28"/>
        </w:rPr>
        <w:t xml:space="preserve">в обязательном порядке представляется </w:t>
      </w:r>
      <w:r>
        <w:rPr>
          <w:rFonts w:ascii="Times New Roman" w:hAnsi="Times New Roman"/>
          <w:sz w:val="28"/>
        </w:rPr>
        <w:t>в соответствии с Приказ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Минэкономразвития России от 02</w:t>
      </w:r>
      <w:r>
        <w:rPr>
          <w:rFonts w:ascii="Times New Roman" w:hAnsi="Times New Roman"/>
          <w:sz w:val="28"/>
        </w:rPr>
        <w:t xml:space="preserve"> октября </w:t>
      </w:r>
      <w:r>
        <w:rPr>
          <w:rFonts w:ascii="Times New Roman" w:hAnsi="Times New Roman"/>
          <w:sz w:val="28"/>
        </w:rPr>
        <w:t>2013</w:t>
      </w:r>
      <w:r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567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 xml:space="preserve">иных </w:t>
      </w:r>
      <w:r>
        <w:rPr>
          <w:rFonts w:ascii="Times New Roman" w:hAnsi="Times New Roman"/>
          <w:sz w:val="28"/>
        </w:rPr>
        <w:t xml:space="preserve">случаях </w:t>
      </w:r>
      <w:r>
        <w:rPr>
          <w:rFonts w:ascii="Times New Roman" w:hAnsi="Times New Roman"/>
          <w:sz w:val="28"/>
        </w:rPr>
        <w:t xml:space="preserve">к обоснованию цены </w:t>
      </w:r>
      <w:r>
        <w:rPr>
          <w:rFonts w:ascii="Times New Roman" w:hAnsi="Times New Roman"/>
          <w:sz w:val="28"/>
        </w:rPr>
        <w:t xml:space="preserve">сделки </w:t>
      </w:r>
      <w:r>
        <w:rPr>
          <w:rFonts w:ascii="Times New Roman" w:hAnsi="Times New Roman"/>
          <w:sz w:val="28"/>
        </w:rPr>
        <w:t xml:space="preserve">прилагаются копии </w:t>
      </w:r>
      <w:r>
        <w:rPr>
          <w:rFonts w:ascii="Times New Roman" w:hAnsi="Times New Roman"/>
          <w:sz w:val="28"/>
        </w:rPr>
        <w:t xml:space="preserve">подтверждающих </w:t>
      </w:r>
      <w:r>
        <w:rPr>
          <w:rFonts w:ascii="Times New Roman" w:hAnsi="Times New Roman"/>
          <w:sz w:val="28"/>
        </w:rPr>
        <w:t xml:space="preserve">документов, </w:t>
      </w:r>
      <w:r>
        <w:rPr>
          <w:rFonts w:ascii="Times New Roman" w:hAnsi="Times New Roman"/>
          <w:sz w:val="28"/>
        </w:rPr>
        <w:t>явившихся основанием для определения цены сделки;</w:t>
      </w:r>
    </w:p>
    <w:p w14:paraId="49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достижение целей совершения сделки – </w:t>
      </w:r>
      <w:r>
        <w:rPr>
          <w:rFonts w:ascii="Times New Roman" w:hAnsi="Times New Roman"/>
          <w:sz w:val="28"/>
        </w:rPr>
        <w:t>расчет экономических показателей, подтверждающих экон</w:t>
      </w:r>
      <w:r>
        <w:rPr>
          <w:rFonts w:ascii="Times New Roman" w:hAnsi="Times New Roman"/>
          <w:sz w:val="28"/>
        </w:rPr>
        <w:t xml:space="preserve">омическую эффективность сделки; </w:t>
      </w:r>
      <w:r>
        <w:rPr>
          <w:rFonts w:ascii="Times New Roman" w:hAnsi="Times New Roman"/>
          <w:sz w:val="28"/>
        </w:rPr>
        <w:t>прогноз влияния результатов сделки на повышение эффективности деятельности в разрезе производственных и финансовых показателей;</w:t>
      </w:r>
      <w:r>
        <w:rPr>
          <w:rFonts w:ascii="Times New Roman" w:hAnsi="Times New Roman"/>
          <w:sz w:val="28"/>
        </w:rPr>
        <w:t xml:space="preserve"> </w:t>
      </w:r>
    </w:p>
    <w:p w14:paraId="4A000000">
      <w:pPr>
        <w:pStyle w:val="Style_3"/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источник совершения сделки – с указанием и </w:t>
      </w:r>
      <w:r>
        <w:rPr>
          <w:rFonts w:ascii="Times New Roman" w:hAnsi="Times New Roman"/>
          <w:sz w:val="28"/>
        </w:rPr>
        <w:t>финансово-экономическ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обоснование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возможности выполнения денежных обязательств по сделке</w:t>
      </w:r>
      <w:r>
        <w:rPr>
          <w:rFonts w:ascii="Times New Roman" w:hAnsi="Times New Roman"/>
          <w:sz w:val="28"/>
        </w:rPr>
        <w:t>.</w:t>
      </w:r>
    </w:p>
    <w:p w14:paraId="4B000000">
      <w:pPr>
        <w:pStyle w:val="Style_3"/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.4.2. Анализ выполнения </w:t>
      </w:r>
      <w:r>
        <w:rPr>
          <w:rFonts w:ascii="Times New Roman" w:hAnsi="Times New Roman"/>
          <w:sz w:val="28"/>
        </w:rPr>
        <w:t>плановых показателей за отчетный период, предшеству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щий совершению сделки</w:t>
      </w:r>
      <w:r>
        <w:rPr>
          <w:rFonts w:ascii="Times New Roman" w:hAnsi="Times New Roman"/>
          <w:sz w:val="28"/>
        </w:rPr>
        <w:t>.</w:t>
      </w:r>
    </w:p>
    <w:p w14:paraId="4C000000">
      <w:pPr>
        <w:pStyle w:val="Style_3"/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.4.3. </w:t>
      </w:r>
      <w:r>
        <w:rPr>
          <w:rFonts w:ascii="Times New Roman" w:hAnsi="Times New Roman"/>
          <w:sz w:val="28"/>
          <w:highlight w:val="cyan"/>
        </w:rPr>
        <w:t>Проект договора (контракта) или извещение об осуществлении закупки с приложением к Проекту контракта «Существенные условия контракта, не предусмотренные электронным контрактом</w:t>
      </w:r>
      <w:r>
        <w:rPr>
          <w:rFonts w:ascii="Times New Roman" w:hAnsi="Times New Roman"/>
          <w:sz w:val="28"/>
          <w:highlight w:val="cyan"/>
        </w:rPr>
        <w:t>»</w:t>
      </w:r>
      <w:r>
        <w:rPr>
          <w:rFonts w:ascii="Times New Roman" w:hAnsi="Times New Roman"/>
          <w:sz w:val="28"/>
          <w:highlight w:val="cyan"/>
        </w:rPr>
        <w:t xml:space="preserve">, содержащих условия сделки, или заявка на проведение процедуры определения поставщика (подрядчика, </w:t>
      </w:r>
      <w:r>
        <w:rPr>
          <w:rFonts w:ascii="Times New Roman" w:hAnsi="Times New Roman"/>
          <w:sz w:val="28"/>
          <w:highlight w:val="cyan"/>
        </w:rPr>
        <w:t>исполнителя) конкурентными способами в орган исполнительной власти города Байконур, уполномоченный на определение поставщиков (подрядчиков, исполнителей) в соответствии с порядком, определенным правовым актом администрации города Байконур.</w:t>
      </w:r>
    </w:p>
    <w:p w14:paraId="4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.4.4. П</w:t>
      </w:r>
      <w:r>
        <w:rPr>
          <w:rFonts w:ascii="Times New Roman" w:hAnsi="Times New Roman"/>
          <w:sz w:val="28"/>
        </w:rPr>
        <w:t>роекты иных договоров, связанных со сделкой, в том числе документов, предусмотренных законодательством Российской Федерации, которыми оформляется обеспечение обязательств по сделке</w:t>
      </w:r>
      <w:r>
        <w:rPr>
          <w:rFonts w:ascii="Times New Roman" w:hAnsi="Times New Roman"/>
          <w:sz w:val="28"/>
        </w:rPr>
        <w:t>.</w:t>
      </w:r>
    </w:p>
    <w:p w14:paraId="4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bookmarkStart w:id="3" w:name="Par81"/>
      <w:bookmarkEnd w:id="3"/>
      <w:bookmarkStart w:id="4" w:name="Par82"/>
      <w:bookmarkEnd w:id="4"/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.4.5. И</w:t>
      </w:r>
      <w:r>
        <w:rPr>
          <w:rFonts w:ascii="Times New Roman" w:hAnsi="Times New Roman"/>
          <w:sz w:val="28"/>
        </w:rPr>
        <w:t>ные документы (проекты документов), оформление которых необходимо для совершения сделки в соответствии с законодател</w:t>
      </w:r>
      <w:r>
        <w:rPr>
          <w:rFonts w:ascii="Times New Roman" w:hAnsi="Times New Roman"/>
          <w:sz w:val="28"/>
        </w:rPr>
        <w:t>ьством Российской Федерации.</w:t>
      </w:r>
    </w:p>
    <w:p w14:paraId="4F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заявлению на получение согласия на совершение сделки по отчуждению имущества дополнительно к документам, указанным в пункте 5.4 Порядка, прилагаются копии правоустанавливающих документов на имущество.</w:t>
      </w:r>
    </w:p>
    <w:p w14:paraId="50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заявлению </w:t>
      </w:r>
      <w:r>
        <w:rPr>
          <w:rFonts w:ascii="Times New Roman" w:hAnsi="Times New Roman"/>
          <w:sz w:val="28"/>
        </w:rPr>
        <w:t>на получени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согласия на совершение сделки</w:t>
      </w:r>
      <w:r>
        <w:rPr>
          <w:rFonts w:ascii="Times New Roman" w:hAnsi="Times New Roman"/>
          <w:sz w:val="28"/>
        </w:rPr>
        <w:t xml:space="preserve">, в которой имеется заинтересованность руководителя </w:t>
      </w:r>
      <w:r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, дополнительно к документам, указанным в пункте 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, прилагаются содержащие соответствующую информацию документы:</w:t>
      </w:r>
    </w:p>
    <w:p w14:paraId="5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юридических лицах, в которых руководитель, его супруг, родители, дети, братья, сестры и (или) их аффилированные лица, признаваемые таковыми в соответствии с законодательством Российской Федерации, владеют (каждый в отдельности или в совокупности) двадцатью или более процентами акций (долей, паев);</w:t>
      </w:r>
    </w:p>
    <w:p w14:paraId="5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юридических лицах, в которых руководитель, его супруг, родители, дети, братья, сестры и (или) их аффилированные лица, признаваемые таковыми в соответствии с законодательством Российской Федерации, занимают должности в органах управления;</w:t>
      </w:r>
    </w:p>
    <w:p w14:paraId="5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известных руководителю совершаемых или предполагаемых сделках, в совершении которых он может быть заинтересован.</w:t>
      </w:r>
    </w:p>
    <w:p w14:paraId="5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в заявлении на согласование сделки указываются фамилия, имя, отчество физического лица, в отношении которого сделка признается заинтересованной, его место работы, должность, доля акций (паев), должность в органах управления юридического лица.</w:t>
      </w:r>
    </w:p>
    <w:p w14:paraId="55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 и прилагаемые к нему документы предоставляются на бумажном носителе и в электронном виде.</w:t>
      </w:r>
    </w:p>
    <w:p w14:paraId="56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о даты заседания Комиссии член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Комиссии </w:t>
      </w:r>
      <w:r>
        <w:rPr>
          <w:rFonts w:ascii="Times New Roman" w:hAnsi="Times New Roman"/>
          <w:sz w:val="28"/>
        </w:rPr>
        <w:t xml:space="preserve">вправе запросить </w:t>
      </w:r>
      <w:r>
        <w:rPr>
          <w:rFonts w:ascii="Times New Roman" w:hAnsi="Times New Roman"/>
          <w:sz w:val="28"/>
        </w:rPr>
        <w:t>дополнительные материалы и (или) разъяснения</w:t>
      </w:r>
      <w:r>
        <w:rPr>
          <w:rFonts w:ascii="Times New Roman" w:hAnsi="Times New Roman"/>
          <w:sz w:val="28"/>
        </w:rPr>
        <w:t xml:space="preserve"> от Заявителя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либо структурных подразделений администрации города Байконур, </w:t>
      </w:r>
      <w:r>
        <w:rPr>
          <w:rFonts w:ascii="Times New Roman" w:hAnsi="Times New Roman"/>
          <w:sz w:val="28"/>
        </w:rPr>
        <w:t xml:space="preserve">о чем </w:t>
      </w:r>
      <w:r>
        <w:rPr>
          <w:rFonts w:ascii="Times New Roman" w:hAnsi="Times New Roman"/>
          <w:sz w:val="28"/>
        </w:rPr>
        <w:t>он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информиру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т секретаря Комиссии, и </w:t>
      </w:r>
      <w:r>
        <w:rPr>
          <w:rFonts w:ascii="Times New Roman" w:hAnsi="Times New Roman"/>
          <w:sz w:val="28"/>
        </w:rPr>
        <w:t xml:space="preserve">Комиссия направляет </w:t>
      </w:r>
      <w:r>
        <w:rPr>
          <w:rFonts w:ascii="Times New Roman" w:hAnsi="Times New Roman"/>
          <w:sz w:val="28"/>
        </w:rPr>
        <w:t xml:space="preserve">мотивированный запрос </w:t>
      </w:r>
      <w:r>
        <w:rPr>
          <w:rFonts w:ascii="Times New Roman" w:hAnsi="Times New Roman"/>
          <w:sz w:val="28"/>
        </w:rPr>
        <w:t xml:space="preserve">в адрес </w:t>
      </w:r>
      <w:r>
        <w:rPr>
          <w:rFonts w:ascii="Times New Roman" w:hAnsi="Times New Roman"/>
          <w:sz w:val="28"/>
        </w:rPr>
        <w:t>Заявител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либо структурных подразделений администрации города Байконур </w:t>
      </w:r>
      <w:r>
        <w:rPr>
          <w:rFonts w:ascii="Times New Roman" w:hAnsi="Times New Roman"/>
          <w:sz w:val="28"/>
        </w:rPr>
        <w:t xml:space="preserve">о представлении информации (документов) </w:t>
      </w:r>
      <w:r>
        <w:rPr>
          <w:rFonts w:ascii="Times New Roman" w:hAnsi="Times New Roman"/>
          <w:sz w:val="28"/>
        </w:rPr>
        <w:t>в установленные в запросе сроки.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протоколе заседания Комиссии фиксируется факт направления запроса и представления/непредставления информации в установленный в запросе срок. </w:t>
      </w:r>
    </w:p>
    <w:p w14:paraId="57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рассмотрения заявления и прилагаемых к нему документов </w:t>
      </w:r>
      <w:r>
        <w:rPr>
          <w:rFonts w:ascii="Times New Roman" w:hAnsi="Times New Roman"/>
          <w:sz w:val="28"/>
        </w:rPr>
        <w:t xml:space="preserve">Комиссия принимает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ешение о согласовании (одобрении) или об отказе в согласовании (одобрении) сделки </w:t>
      </w:r>
      <w:r>
        <w:rPr>
          <w:rFonts w:ascii="Times New Roman" w:hAnsi="Times New Roman"/>
          <w:sz w:val="28"/>
        </w:rPr>
        <w:t>(далее соответственно – Решение о согласовании, Решение об отказе, вместе – Решение)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 рассмотрения заявления и принятого Комиссией Решения фиксируется в протоколе заседания Комиссии.</w:t>
      </w:r>
    </w:p>
    <w:p w14:paraId="58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действия Решения о согласовании устанавливается Комиссией </w:t>
      </w:r>
      <w:r>
        <w:rPr>
          <w:rFonts w:ascii="Times New Roman" w:hAnsi="Times New Roman"/>
          <w:sz w:val="28"/>
        </w:rPr>
        <w:t xml:space="preserve">исходя из условий сделки, но </w:t>
      </w:r>
      <w:r>
        <w:rPr>
          <w:rFonts w:ascii="Times New Roman" w:hAnsi="Times New Roman"/>
          <w:sz w:val="28"/>
        </w:rPr>
        <w:t xml:space="preserve">не менее двух месяцев с </w:t>
      </w:r>
      <w:r>
        <w:rPr>
          <w:rFonts w:ascii="Times New Roman" w:hAnsi="Times New Roman"/>
          <w:sz w:val="28"/>
        </w:rPr>
        <w:t>даты</w:t>
      </w:r>
      <w:r>
        <w:rPr>
          <w:rFonts w:ascii="Times New Roman" w:hAnsi="Times New Roman"/>
          <w:sz w:val="28"/>
        </w:rPr>
        <w:t xml:space="preserve"> рассмотрения заявления. </w:t>
      </w:r>
    </w:p>
    <w:p w14:paraId="59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ешении о согласовании допускается указание условий сделки, указанных в заявлении или являющихся обоснованием совершения сделки, не подлежащих изменению при заключении сделки.</w:t>
      </w:r>
      <w:r>
        <w:rPr>
          <w:rFonts w:ascii="Times New Roman" w:hAnsi="Times New Roman"/>
          <w:sz w:val="28"/>
        </w:rPr>
        <w:t xml:space="preserve"> </w:t>
      </w:r>
    </w:p>
    <w:p w14:paraId="5A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Основаниями для отказа в согласовании (одобрении) заключения сделки являются:</w:t>
      </w:r>
    </w:p>
    <w:p w14:paraId="5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несоответствие сделки требованиям международных договоров и соглашений по комплексу «Байконур», законодательства Российской Федерации и правовых актов администрации города Байконур;</w:t>
      </w:r>
    </w:p>
    <w:p w14:paraId="5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непредставление или представление не в полном объеме документо</w:t>
      </w:r>
      <w:r>
        <w:rPr>
          <w:rFonts w:ascii="Times New Roman" w:hAnsi="Times New Roman"/>
          <w:sz w:val="28"/>
        </w:rPr>
        <w:t>в, указанных в пунктах 5.3 – 5.8</w:t>
      </w:r>
      <w:r>
        <w:rPr>
          <w:rFonts w:ascii="Times New Roman" w:hAnsi="Times New Roman"/>
          <w:sz w:val="28"/>
        </w:rPr>
        <w:t xml:space="preserve"> Порядка;</w:t>
      </w:r>
    </w:p>
    <w:p w14:paraId="5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неполнота и (или) недостоверность сведений, содержащихся в документа</w:t>
      </w:r>
      <w:r>
        <w:rPr>
          <w:rFonts w:ascii="Times New Roman" w:hAnsi="Times New Roman"/>
          <w:sz w:val="28"/>
        </w:rPr>
        <w:t>х, указанных в пунктах 5.3 – 5.8</w:t>
      </w:r>
      <w:r>
        <w:rPr>
          <w:rFonts w:ascii="Times New Roman" w:hAnsi="Times New Roman"/>
          <w:sz w:val="28"/>
        </w:rPr>
        <w:t xml:space="preserve"> Порядка;</w:t>
      </w:r>
    </w:p>
    <w:p w14:paraId="5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нахождение Заявителя в стадии ликвидации или возбуждение в отношении Заявителя судом дела о несостоятельности (банкротстве);</w:t>
      </w:r>
    </w:p>
    <w:p w14:paraId="5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несоответствие заключаемой сделки видам деятельности, предусмотренным правоустанавливающими документами Заявителя;</w:t>
      </w:r>
    </w:p>
    <w:p w14:paraId="6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предметом сделки выступает ограниченное в обороте или изъятое из оборота имущество либо имущество, не подлежащее отчуждению;</w:t>
      </w:r>
    </w:p>
    <w:p w14:paraId="61000000">
      <w:pPr>
        <w:spacing w:after="0" w:line="240" w:lineRule="auto"/>
        <w:ind w:firstLine="709" w:left="0"/>
        <w:jc w:val="both"/>
        <w:rPr>
          <w:rFonts w:ascii="Verdana" w:hAnsi="Verdana"/>
          <w:highlight w:val="white"/>
        </w:rPr>
      </w:pPr>
      <w:r>
        <w:rPr>
          <w:rFonts w:ascii="Times New Roman" w:hAnsi="Times New Roman"/>
          <w:sz w:val="28"/>
        </w:rPr>
        <w:t>ж) отсутствие экономической эффективности и целесообразности заключения Заявителем сделки и (или) отсутствие возможности Заявителем выполнить обязательства по сделке без создания угрозы стабильному осуществлению Заявителем деятельности, цели, предмет и виды которой определены его уставом.</w:t>
      </w:r>
      <w:r>
        <w:rPr>
          <w:rFonts w:ascii="Verdana" w:hAnsi="Verdana"/>
          <w:highlight w:val="white"/>
        </w:rPr>
        <w:t xml:space="preserve"> </w:t>
      </w:r>
    </w:p>
    <w:p w14:paraId="6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протоколе заседания Комиссии и в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ешении об отказе указывается мотивированное основание для такого отказа.</w:t>
      </w:r>
    </w:p>
    <w:p w14:paraId="63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для согласования (одобрения) сделки требуется изменение условий сделки, в том числе изменение цены сделки, Комиссия в течение трех рабочих дней после заседания Комиссии направляет Заявителю письменные предложения по изменению условий сделки и представлению в установленный Комиссией срок дополнительных материалов и (или) разъяснений в случае необходимости совершения сделки без изменения условий. В протоколе заседания Комиссии фиксируется факт направления запроса. </w:t>
      </w:r>
    </w:p>
    <w:p w14:paraId="64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оформляется по форме согласно приложению № 2 к Порядку, подписывается </w:t>
      </w:r>
      <w:r>
        <w:rPr>
          <w:rFonts w:ascii="Times New Roman" w:hAnsi="Times New Roman"/>
          <w:sz w:val="28"/>
        </w:rPr>
        <w:t>председателем Комиссии</w:t>
      </w:r>
      <w:r>
        <w:rPr>
          <w:rFonts w:ascii="Times New Roman" w:hAnsi="Times New Roman"/>
          <w:sz w:val="28"/>
        </w:rPr>
        <w:t>, заверяется печатью Аппарата Главы администрации горо</w:t>
      </w:r>
      <w:r>
        <w:rPr>
          <w:rFonts w:ascii="Times New Roman" w:hAnsi="Times New Roman"/>
          <w:sz w:val="28"/>
        </w:rPr>
        <w:t>да Байконур с воспроизведением г</w:t>
      </w:r>
      <w:r>
        <w:rPr>
          <w:rFonts w:ascii="Times New Roman" w:hAnsi="Times New Roman"/>
          <w:sz w:val="28"/>
        </w:rPr>
        <w:t>осударственного герба Российской Федерации и направляется Заявителю.</w:t>
      </w:r>
    </w:p>
    <w:p w14:paraId="65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Сделки</w:t>
      </w:r>
      <w:r>
        <w:rPr>
          <w:rFonts w:ascii="Times New Roman" w:hAnsi="Times New Roman"/>
          <w:sz w:val="28"/>
        </w:rPr>
        <w:t xml:space="preserve"> на закупку услуг, </w:t>
      </w:r>
      <w:r>
        <w:rPr>
          <w:rFonts w:ascii="Times New Roman" w:hAnsi="Times New Roman"/>
          <w:sz w:val="28"/>
        </w:rPr>
        <w:t>заключаемые в соответствии с п</w:t>
      </w:r>
      <w:r>
        <w:rPr>
          <w:rFonts w:ascii="Times New Roman" w:hAnsi="Times New Roman"/>
          <w:sz w:val="28"/>
        </w:rPr>
        <w:t xml:space="preserve">унктами 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, 2, </w:t>
      </w:r>
      <w:r>
        <w:rPr>
          <w:rFonts w:ascii="Times New Roman" w:hAnsi="Times New Roman"/>
          <w:sz w:val="28"/>
        </w:rPr>
        <w:t xml:space="preserve">6, </w:t>
      </w:r>
      <w:r>
        <w:rPr>
          <w:rFonts w:ascii="Times New Roman" w:hAnsi="Times New Roman"/>
          <w:sz w:val="28"/>
        </w:rPr>
        <w:t>8, 9, 29</w:t>
      </w:r>
      <w:r>
        <w:rPr>
          <w:rFonts w:ascii="Times New Roman" w:hAnsi="Times New Roman"/>
          <w:sz w:val="28"/>
        </w:rPr>
        <w:t xml:space="preserve"> ч</w:t>
      </w:r>
      <w:r>
        <w:rPr>
          <w:rFonts w:ascii="Times New Roman" w:hAnsi="Times New Roman"/>
          <w:sz w:val="28"/>
        </w:rPr>
        <w:t xml:space="preserve">асти </w:t>
      </w:r>
      <w:r>
        <w:rPr>
          <w:rFonts w:ascii="Times New Roman" w:hAnsi="Times New Roman"/>
          <w:sz w:val="28"/>
        </w:rPr>
        <w:t>1 ст</w:t>
      </w:r>
      <w:r>
        <w:rPr>
          <w:rFonts w:ascii="Times New Roman" w:hAnsi="Times New Roman"/>
          <w:sz w:val="28"/>
        </w:rPr>
        <w:t xml:space="preserve">атьи </w:t>
      </w:r>
      <w:r>
        <w:rPr>
          <w:rFonts w:ascii="Times New Roman" w:hAnsi="Times New Roman"/>
          <w:sz w:val="28"/>
        </w:rPr>
        <w:t xml:space="preserve">93 </w:t>
      </w:r>
      <w:r>
        <w:rPr>
          <w:rFonts w:ascii="Times New Roman" w:hAnsi="Times New Roman"/>
          <w:sz w:val="28"/>
        </w:rPr>
        <w:t>Федерального закона от 05</w:t>
      </w:r>
      <w:r>
        <w:rPr>
          <w:rFonts w:ascii="Times New Roman" w:hAnsi="Times New Roman"/>
          <w:sz w:val="28"/>
        </w:rPr>
        <w:t xml:space="preserve"> апреля </w:t>
      </w:r>
      <w:r>
        <w:rPr>
          <w:rFonts w:ascii="Times New Roman" w:hAnsi="Times New Roman"/>
          <w:sz w:val="28"/>
        </w:rPr>
        <w:t>2013 г.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</w:rPr>
        <w:t xml:space="preserve"> (с изменениями)</w:t>
      </w:r>
      <w:r>
        <w:rPr>
          <w:rFonts w:ascii="Times New Roman" w:hAnsi="Times New Roman"/>
          <w:sz w:val="28"/>
        </w:rPr>
        <w:t xml:space="preserve">, на закупку коммунальных услуг в соответствии с правовым актом, предусмотренным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"consultantplus://offline/ref=0B871CCCAD7C8D6BB3EB1085622CC880516B29A6A652B6167325F9AA1B1C924DD7E1C6C2B77C96C8B2F7974C66BB299FFA951D30304F5E84g8H0G"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частью 3 статьи 2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Федерального закона от 18 июля 2011 г. № 223-ФЗ </w:t>
      </w:r>
      <w:r>
        <w:rPr>
          <w:rFonts w:ascii="Times New Roman" w:hAnsi="Times New Roman"/>
          <w:sz w:val="28"/>
        </w:rPr>
        <w:t xml:space="preserve">                 </w:t>
      </w:r>
      <w:r>
        <w:rPr>
          <w:rFonts w:ascii="Times New Roman" w:hAnsi="Times New Roman"/>
          <w:sz w:val="28"/>
        </w:rPr>
        <w:t xml:space="preserve">«О закупках товаров, работ, услуг отдельными видами юридических лиц»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>(с изменениями)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тарифам, установленным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рганом, осуществляющим функции в сфере государственного  регулирования цен (тарифов) на территории города Байконур</w:t>
      </w:r>
      <w:r>
        <w:rPr>
          <w:rFonts w:ascii="Times New Roman" w:hAnsi="Times New Roman"/>
          <w:sz w:val="28"/>
        </w:rPr>
        <w:t xml:space="preserve">, являются согласованными собственником имущества </w:t>
      </w:r>
      <w:r>
        <w:rPr>
          <w:rFonts w:ascii="Times New Roman" w:hAnsi="Times New Roman"/>
          <w:sz w:val="28"/>
        </w:rPr>
        <w:t xml:space="preserve">без учета положений 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.3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Порядка.</w:t>
      </w:r>
    </w:p>
    <w:p w14:paraId="6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67000000">
      <w:pPr>
        <w:numPr>
          <w:ilvl w:val="0"/>
          <w:numId w:val="1"/>
        </w:numPr>
        <w:tabs>
          <w:tab w:leader="none" w:pos="42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Учет согласованных (одобренных) сделок</w:t>
      </w:r>
    </w:p>
    <w:p w14:paraId="68000000">
      <w:pPr>
        <w:spacing w:after="0" w:line="240" w:lineRule="auto"/>
        <w:ind w:firstLine="709" w:left="0"/>
        <w:jc w:val="center"/>
        <w:rPr>
          <w:rFonts w:ascii="Times New Roman" w:hAnsi="Times New Roman"/>
          <w:sz w:val="16"/>
        </w:rPr>
      </w:pPr>
    </w:p>
    <w:p w14:paraId="69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Учет согласованных (одобренных)</w:t>
      </w:r>
      <w:r>
        <w:rPr>
          <w:rFonts w:ascii="Times New Roman" w:hAnsi="Times New Roman"/>
          <w:sz w:val="28"/>
        </w:rPr>
        <w:t xml:space="preserve"> сделок осуществляет секретарь 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6A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осуществления учета согласованных </w:t>
      </w:r>
      <w:r>
        <w:rPr>
          <w:rFonts w:ascii="Times New Roman" w:hAnsi="Times New Roman"/>
          <w:sz w:val="28"/>
        </w:rPr>
        <w:t xml:space="preserve">(одобренных) </w:t>
      </w:r>
      <w:r>
        <w:rPr>
          <w:rFonts w:ascii="Times New Roman" w:hAnsi="Times New Roman"/>
          <w:sz w:val="28"/>
        </w:rPr>
        <w:t xml:space="preserve">сделок </w:t>
      </w:r>
      <w:r>
        <w:rPr>
          <w:rFonts w:ascii="Times New Roman" w:hAnsi="Times New Roman"/>
          <w:sz w:val="28"/>
        </w:rPr>
        <w:t xml:space="preserve">Заявитель </w:t>
      </w:r>
      <w:r>
        <w:rPr>
          <w:rFonts w:ascii="Times New Roman" w:hAnsi="Times New Roman"/>
          <w:sz w:val="28"/>
        </w:rPr>
        <w:t xml:space="preserve">до окончания срока действия Решения о согласовании </w:t>
      </w:r>
      <w:r>
        <w:rPr>
          <w:rFonts w:ascii="Times New Roman" w:hAnsi="Times New Roman"/>
          <w:sz w:val="28"/>
        </w:rPr>
        <w:t>представляет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копию соответствующего договора (иной документ, подтверждающий совершение сделки) в соответствии с порядком учета контрактов и гражданско-правовых договоров, установленным нормативным </w:t>
      </w:r>
      <w:r>
        <w:rPr>
          <w:rFonts w:ascii="Times New Roman" w:hAnsi="Times New Roman"/>
          <w:sz w:val="28"/>
        </w:rPr>
        <w:t xml:space="preserve">правовым </w:t>
      </w:r>
      <w:r>
        <w:rPr>
          <w:rFonts w:ascii="Times New Roman" w:hAnsi="Times New Roman"/>
          <w:sz w:val="28"/>
        </w:rPr>
        <w:t xml:space="preserve">актом администрации города Байконур, о чем уведомляет </w:t>
      </w:r>
      <w:r>
        <w:rPr>
          <w:rFonts w:ascii="Times New Roman" w:hAnsi="Times New Roman"/>
          <w:sz w:val="28"/>
        </w:rPr>
        <w:t>секретар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Комиссии.</w:t>
      </w:r>
    </w:p>
    <w:p w14:paraId="6B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Секретарь Комиссии проводит проверку соответствия </w:t>
      </w:r>
      <w:r>
        <w:rPr>
          <w:rFonts w:ascii="Times New Roman" w:hAnsi="Times New Roman"/>
          <w:sz w:val="28"/>
        </w:rPr>
        <w:t xml:space="preserve">условий </w:t>
      </w:r>
      <w:r>
        <w:rPr>
          <w:rFonts w:ascii="Times New Roman" w:hAnsi="Times New Roman"/>
          <w:sz w:val="28"/>
        </w:rPr>
        <w:t xml:space="preserve">заключенного договора (иного документа, подтверждающего совершение сделки) условиям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делки, указанным в заявлении и Р</w:t>
      </w:r>
      <w:r>
        <w:rPr>
          <w:rFonts w:ascii="Times New Roman" w:hAnsi="Times New Roman"/>
          <w:sz w:val="28"/>
        </w:rPr>
        <w:t>ешении о согласовании.</w:t>
      </w:r>
      <w:r>
        <w:rPr>
          <w:rFonts w:ascii="Times New Roman" w:hAnsi="Times New Roman"/>
          <w:sz w:val="28"/>
        </w:rPr>
        <w:t xml:space="preserve"> </w:t>
      </w:r>
    </w:p>
    <w:p w14:paraId="6C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отсутствия </w:t>
      </w:r>
      <w:r>
        <w:rPr>
          <w:rFonts w:ascii="Times New Roman" w:hAnsi="Times New Roman"/>
          <w:sz w:val="28"/>
        </w:rPr>
        <w:t>договора, заключенного на основании Решения о согласовании, Заявитель до окончания срока действия Решения о согласовании письменно информирует о причинах не совершения сделки.</w:t>
      </w:r>
    </w:p>
    <w:p w14:paraId="6D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</w:t>
      </w:r>
      <w:r>
        <w:rPr>
          <w:rFonts w:ascii="Times New Roman" w:hAnsi="Times New Roman"/>
          <w:sz w:val="28"/>
        </w:rPr>
        <w:t xml:space="preserve">отсутствия информации о совершении сделки согласно пунктам 6.2, 6.4 Порядка или </w:t>
      </w:r>
      <w:r>
        <w:rPr>
          <w:rFonts w:ascii="Times New Roman" w:hAnsi="Times New Roman"/>
          <w:sz w:val="28"/>
        </w:rPr>
        <w:t xml:space="preserve">выявления </w:t>
      </w:r>
      <w:r>
        <w:rPr>
          <w:rFonts w:ascii="Times New Roman" w:hAnsi="Times New Roman"/>
          <w:sz w:val="28"/>
        </w:rPr>
        <w:t xml:space="preserve">несоответствия </w:t>
      </w:r>
      <w:r>
        <w:rPr>
          <w:rFonts w:ascii="Times New Roman" w:hAnsi="Times New Roman"/>
          <w:sz w:val="28"/>
        </w:rPr>
        <w:t>условий</w:t>
      </w:r>
      <w:r>
        <w:rPr>
          <w:rFonts w:ascii="Times New Roman" w:hAnsi="Times New Roman"/>
          <w:sz w:val="28"/>
        </w:rPr>
        <w:t xml:space="preserve"> согласно п</w:t>
      </w:r>
      <w:r>
        <w:rPr>
          <w:rFonts w:ascii="Times New Roman" w:hAnsi="Times New Roman"/>
          <w:sz w:val="28"/>
        </w:rPr>
        <w:t>ункт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.3 Порядка секретарь Комиссии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письменно информирует </w:t>
      </w:r>
      <w:r>
        <w:rPr>
          <w:rFonts w:ascii="Times New Roman" w:hAnsi="Times New Roman"/>
          <w:sz w:val="28"/>
        </w:rPr>
        <w:t>председател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Комиссии. </w:t>
      </w:r>
      <w:r>
        <w:rPr>
          <w:rFonts w:ascii="Times New Roman" w:hAnsi="Times New Roman"/>
          <w:sz w:val="28"/>
        </w:rPr>
        <w:t xml:space="preserve"> </w:t>
      </w:r>
    </w:p>
    <w:p w14:paraId="6E000000">
      <w:pPr>
        <w:numPr>
          <w:ilvl w:val="0"/>
          <w:numId w:val="1"/>
        </w:numPr>
        <w:tabs>
          <w:tab w:leader="none" w:pos="426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Заключительные положения</w:t>
      </w:r>
    </w:p>
    <w:p w14:paraId="6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70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</w:t>
      </w:r>
      <w:r>
        <w:rPr>
          <w:rFonts w:ascii="Times New Roman" w:hAnsi="Times New Roman"/>
          <w:sz w:val="28"/>
        </w:rPr>
        <w:t>изменени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условий </w:t>
      </w:r>
      <w:r>
        <w:rPr>
          <w:rFonts w:ascii="Times New Roman" w:hAnsi="Times New Roman"/>
          <w:sz w:val="28"/>
        </w:rPr>
        <w:t xml:space="preserve">ранее согласованных (одобренных) и </w:t>
      </w:r>
      <w:r>
        <w:rPr>
          <w:rFonts w:ascii="Times New Roman" w:hAnsi="Times New Roman"/>
          <w:sz w:val="28"/>
        </w:rPr>
        <w:t>совершенных сделок, указанных в Решении о согласовании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огласование (одобрение) производится в соответствии с Порядком.</w:t>
      </w:r>
    </w:p>
    <w:p w14:paraId="71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Согласование </w:t>
      </w:r>
      <w:r>
        <w:rPr>
          <w:rFonts w:ascii="Times New Roman" w:hAnsi="Times New Roman"/>
          <w:sz w:val="28"/>
        </w:rPr>
        <w:t xml:space="preserve">(одобрение) </w:t>
      </w:r>
      <w:r>
        <w:rPr>
          <w:rFonts w:ascii="Times New Roman" w:hAnsi="Times New Roman"/>
          <w:sz w:val="28"/>
        </w:rPr>
        <w:t>сделки действительно в течение срока, указанного в Решении</w:t>
      </w:r>
      <w:r>
        <w:rPr>
          <w:rFonts w:ascii="Times New Roman" w:hAnsi="Times New Roman"/>
          <w:sz w:val="28"/>
        </w:rPr>
        <w:t xml:space="preserve"> о согласовании</w:t>
      </w:r>
      <w:r>
        <w:rPr>
          <w:rFonts w:ascii="Times New Roman" w:hAnsi="Times New Roman"/>
          <w:sz w:val="28"/>
        </w:rPr>
        <w:t>.</w:t>
      </w:r>
    </w:p>
    <w:p w14:paraId="72000000">
      <w:pPr>
        <w:numPr>
          <w:ilvl w:val="1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Руководители и должностные лица </w:t>
      </w:r>
      <w:r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несут ответственность за нарушение или ненадлежащее исполнение требований Порядка в соответствии с законодательством Российской Федерации.</w:t>
      </w:r>
    </w:p>
    <w:p w14:paraId="73000000">
      <w:pPr>
        <w:spacing w:after="0" w:line="240" w:lineRule="auto"/>
        <w:ind w:firstLine="0" w:left="4680"/>
        <w:jc w:val="both"/>
        <w:rPr>
          <w:sz w:val="28"/>
        </w:rPr>
      </w:pPr>
      <w:r>
        <w:rPr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2218055</wp:posOffset>
                </wp:positionH>
                <wp:positionV relativeFrom="paragraph">
                  <wp:posOffset>234315</wp:posOffset>
                </wp:positionV>
                <wp:extent cx="1281430" cy="0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1281430" cy="0"/>
                        </a:xfrm>
                        <a:custGeom>
                          <a:avLst/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0" name="ODFLeft"/>
                            <a:gd fmla="val 0" name="ODFTop"/>
                            <a:gd fmla="val 21600" name="ODFRight"/>
                            <a:gd fmla="val 21600" name="ODFBottom"/>
                            <a:gd fmla="val 21600" name="ODFWidth"/>
                            <a:gd fmla="val 21600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21600" stroke="true" w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74000000">
      <w:pPr>
        <w:tabs>
          <w:tab w:leader="none" w:pos="6148" w:val="left"/>
        </w:tabs>
        <w:spacing w:after="0" w:line="240" w:lineRule="auto"/>
        <w:ind w:firstLine="0" w:left="4680"/>
        <w:jc w:val="both"/>
        <w:rPr>
          <w:sz w:val="28"/>
        </w:rPr>
      </w:pPr>
      <w:r>
        <w:rPr>
          <w:sz w:val="28"/>
        </w:rPr>
        <w:tab/>
      </w:r>
    </w:p>
    <w:p w14:paraId="75000000">
      <w:pPr>
        <w:sectPr>
          <w:headerReference r:id="rId2" w:type="default"/>
          <w:pgSz w:h="16838" w:orient="portrait" w:w="11906"/>
          <w:pgMar w:bottom="993" w:footer="709" w:gutter="0" w:header="425" w:left="1531" w:right="624" w:top="709"/>
          <w:titlePg/>
        </w:sectPr>
      </w:pPr>
    </w:p>
    <w:p w14:paraId="76000000">
      <w:pPr>
        <w:spacing w:after="0" w:line="240" w:lineRule="auto"/>
        <w:ind w:firstLine="0" w:left="4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14:paraId="77000000">
      <w:pPr>
        <w:spacing w:after="0" w:line="240" w:lineRule="auto"/>
        <w:ind w:firstLine="0" w:left="4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Порядку </w:t>
      </w:r>
      <w:r>
        <w:rPr>
          <w:rFonts w:ascii="Times New Roman" w:hAnsi="Times New Roman"/>
          <w:sz w:val="24"/>
        </w:rPr>
        <w:t>согласования (одобрения) сделок государственных унитарных предприятий и учреждений, находящихся в ведении администрации города Байконур</w:t>
      </w:r>
      <w:r>
        <w:rPr>
          <w:rFonts w:ascii="Times New Roman" w:hAnsi="Times New Roman"/>
          <w:sz w:val="24"/>
        </w:rPr>
        <w:t xml:space="preserve"> </w:t>
      </w:r>
    </w:p>
    <w:p w14:paraId="78000000">
      <w:pPr>
        <w:spacing w:after="0" w:line="240" w:lineRule="auto"/>
        <w:ind w:firstLine="0" w:left="4680"/>
        <w:jc w:val="both"/>
        <w:rPr>
          <w:rFonts w:ascii="Times New Roman" w:hAnsi="Times New Roman"/>
          <w:sz w:val="24"/>
        </w:rPr>
      </w:pPr>
    </w:p>
    <w:p w14:paraId="79000000">
      <w:pPr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</w:p>
    <w:p w14:paraId="7A000000">
      <w:pPr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ЗАЯВЛЕНИЕ</w:t>
      </w:r>
    </w:p>
    <w:p w14:paraId="7B000000">
      <w:pPr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sz w:val="26"/>
        </w:rPr>
        <w:t xml:space="preserve">на получение согласия (одобрения) на совершение сделки </w:t>
      </w:r>
    </w:p>
    <w:p w14:paraId="7C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_________________________________________________________________________</w:t>
      </w:r>
    </w:p>
    <w:p w14:paraId="7D000000">
      <w:pPr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(полное наименование </w:t>
      </w:r>
      <w:r>
        <w:rPr>
          <w:rFonts w:ascii="Times New Roman" w:hAnsi="Times New Roman"/>
        </w:rPr>
        <w:t>государственного унитарного предприятия, у</w:t>
      </w:r>
      <w:r>
        <w:rPr>
          <w:rFonts w:ascii="Times New Roman" w:hAnsi="Times New Roman"/>
        </w:rPr>
        <w:t>чреждения)</w:t>
      </w:r>
    </w:p>
    <w:p w14:paraId="7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(у</w:t>
      </w:r>
      <w:r>
        <w:rPr>
          <w:rFonts w:ascii="Times New Roman" w:hAnsi="Times New Roman"/>
          <w:sz w:val="28"/>
        </w:rPr>
        <w:t>ставный фонд</w:t>
      </w:r>
      <w:r>
        <w:rPr>
          <w:rFonts w:ascii="Times New Roman" w:hAnsi="Times New Roman"/>
          <w:sz w:val="28"/>
        </w:rPr>
        <w:t>/балансовая стоимость активов</w:t>
      </w:r>
      <w:r>
        <w:rPr>
          <w:rFonts w:ascii="Times New Roman" w:hAnsi="Times New Roman"/>
          <w:sz w:val="28"/>
        </w:rPr>
        <w:t xml:space="preserve"> со</w:t>
      </w:r>
      <w:r>
        <w:rPr>
          <w:rFonts w:ascii="Times New Roman" w:hAnsi="Times New Roman"/>
          <w:sz w:val="28"/>
        </w:rPr>
        <w:t>ставляет ___________________</w:t>
      </w:r>
      <w:r>
        <w:rPr>
          <w:rFonts w:ascii="Times New Roman" w:hAnsi="Times New Roman"/>
          <w:sz w:val="28"/>
        </w:rPr>
        <w:t xml:space="preserve"> ру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 xml:space="preserve">в соответствии с Порядком согласования (одобрения) сделок государственных унитарных предприятий и учреждений, находящихся в ведении администрации города Байконур, утвержденным постановлением Главы администрации города Байконур от _________________ № ____ (далее – Порядок), просит дать согласие (одобрение) на совершение </w:t>
      </w:r>
      <w:r>
        <w:rPr>
          <w:rFonts w:ascii="Times New Roman" w:hAnsi="Times New Roman"/>
          <w:sz w:val="28"/>
        </w:rPr>
        <w:t>сделки</w:t>
      </w:r>
      <w:r>
        <w:rPr>
          <w:rFonts w:ascii="Times New Roman" w:hAnsi="Times New Roman"/>
          <w:sz w:val="28"/>
        </w:rPr>
        <w:t>:</w:t>
      </w:r>
    </w:p>
    <w:p w14:paraId="7F000000">
      <w:pPr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28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 сделки__________________________________________________</w:t>
      </w:r>
    </w:p>
    <w:p w14:paraId="80000000">
      <w:pPr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28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Вид </w:t>
      </w:r>
      <w:r>
        <w:rPr>
          <w:rFonts w:ascii="Times New Roman" w:hAnsi="Times New Roman"/>
          <w:sz w:val="28"/>
        </w:rPr>
        <w:t xml:space="preserve">и способ заключения </w:t>
      </w:r>
      <w:r>
        <w:rPr>
          <w:rFonts w:ascii="Times New Roman" w:hAnsi="Times New Roman"/>
          <w:sz w:val="28"/>
        </w:rPr>
        <w:t>сделки: ____________________</w:t>
      </w:r>
      <w:r>
        <w:rPr>
          <w:rFonts w:ascii="Times New Roman" w:hAnsi="Times New Roman"/>
          <w:sz w:val="28"/>
        </w:rPr>
        <w:t xml:space="preserve">_______________ </w:t>
      </w:r>
    </w:p>
    <w:p w14:paraId="81000000">
      <w:pPr>
        <w:widowControl w:val="0"/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28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Цена и валюта сделки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_____</w:t>
      </w:r>
      <w:r>
        <w:rPr>
          <w:rFonts w:ascii="Times New Roman" w:hAnsi="Times New Roman"/>
          <w:sz w:val="28"/>
        </w:rPr>
        <w:t>______________</w:t>
      </w:r>
      <w:r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_______</w:t>
      </w:r>
    </w:p>
    <w:p w14:paraId="82000000">
      <w:pPr>
        <w:widowControl w:val="0"/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28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исполнения сделки: __________________________</w:t>
      </w:r>
      <w:r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>____________</w:t>
      </w:r>
    </w:p>
    <w:p w14:paraId="83000000">
      <w:pPr>
        <w:widowControl w:val="0"/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28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Способ и размер обеспечения исполнения обязательств по сделке </w:t>
      </w:r>
      <w:r>
        <w:rPr>
          <w:rFonts w:ascii="Times New Roman" w:hAnsi="Times New Roman"/>
          <w:sz w:val="28"/>
        </w:rPr>
        <w:t>_________________________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__________________________________________</w:t>
      </w:r>
      <w:r>
        <w:rPr>
          <w:rFonts w:ascii="Times New Roman" w:hAnsi="Times New Roman"/>
          <w:sz w:val="28"/>
        </w:rPr>
        <w:t>_</w:t>
      </w:r>
    </w:p>
    <w:p w14:paraId="84000000">
      <w:pPr>
        <w:widowControl w:val="0"/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284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Расходы, связанные с совершением сделки: 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______</w:t>
      </w:r>
      <w:r>
        <w:rPr>
          <w:rFonts w:ascii="Times New Roman" w:hAnsi="Times New Roman"/>
          <w:sz w:val="28"/>
        </w:rPr>
        <w:t>________</w:t>
      </w:r>
    </w:p>
    <w:p w14:paraId="85000000">
      <w:pPr>
        <w:keepNext w:val="1"/>
        <w:spacing w:after="0" w:line="240" w:lineRule="auto"/>
        <w:ind w:firstLine="720" w:left="0"/>
        <w:rPr>
          <w:rFonts w:ascii="Times New Roman" w:hAnsi="Times New Roman"/>
          <w:sz w:val="28"/>
        </w:rPr>
      </w:pPr>
    </w:p>
    <w:p w14:paraId="86000000">
      <w:pPr>
        <w:keepNext w:val="1"/>
        <w:spacing w:after="0" w:line="240" w:lineRule="auto"/>
        <w:ind w:firstLine="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заявлению прилагаются:</w:t>
      </w:r>
    </w:p>
    <w:p w14:paraId="87000000">
      <w:pPr>
        <w:spacing w:after="0" w:line="240" w:lineRule="auto"/>
        <w:ind w:firstLine="284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Технико-экономическое обоснование сделки  – на ___ л. в 1 экз.</w:t>
      </w:r>
    </w:p>
    <w:p w14:paraId="88000000">
      <w:pPr>
        <w:spacing w:after="0" w:line="240" w:lineRule="auto"/>
        <w:ind w:firstLine="284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Анализ выполнения плановых показателей  – на ___ л. в 1 экз.</w:t>
      </w:r>
    </w:p>
    <w:p w14:paraId="89000000">
      <w:pPr>
        <w:spacing w:after="0" w:line="240" w:lineRule="auto"/>
        <w:ind w:firstLine="284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Проект договора (контракта) – на _____ л. в 1 экз.</w:t>
      </w:r>
    </w:p>
    <w:p w14:paraId="8A000000">
      <w:pPr>
        <w:spacing w:after="0" w:line="240" w:lineRule="auto"/>
        <w:ind w:firstLine="284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______________________________________ - на ___ л. в 1 экз.</w:t>
      </w:r>
    </w:p>
    <w:p w14:paraId="8B000000">
      <w:pPr>
        <w:spacing w:after="0" w:line="240" w:lineRule="auto"/>
        <w:ind w:firstLine="284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______________________________________ - на ___ л. в 1 экз.</w:t>
      </w:r>
    </w:p>
    <w:p w14:paraId="8C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8D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8E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Руководитель       _________________________ (__________________)       </w:t>
      </w:r>
    </w:p>
    <w:p w14:paraId="8F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Главный бухгалтер ________________________ (_________________)     </w:t>
      </w:r>
    </w:p>
    <w:p w14:paraId="90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полнитель _______________________, тел. ______________</w:t>
      </w:r>
    </w:p>
    <w:p w14:paraId="91000000">
      <w:pPr>
        <w:spacing w:after="0" w:line="240" w:lineRule="auto"/>
        <w:ind w:firstLine="0" w:left="4678"/>
        <w:jc w:val="both"/>
        <w:rPr>
          <w:rFonts w:ascii="Times New Roman" w:hAnsi="Times New Roman"/>
        </w:rPr>
      </w:pPr>
    </w:p>
    <w:p w14:paraId="92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2410460</wp:posOffset>
                </wp:positionH>
                <wp:positionV relativeFrom="paragraph">
                  <wp:posOffset>173355</wp:posOffset>
                </wp:positionV>
                <wp:extent cx="1423035" cy="0"/>
                <wp:wrapNone/>
                <wp:docPr hidden="false" id="2" name="Picture 2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1423035" cy="0"/>
                        </a:xfrm>
                        <a:custGeom>
                          <a:avLst/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0" name="ODFLeft"/>
                            <a:gd fmla="val 0" name="ODFTop"/>
                            <a:gd fmla="val 21600" name="ODFRight"/>
                            <a:gd fmla="val 21600" name="ODFBottom"/>
                            <a:gd fmla="val 21600" name="ODFWidth"/>
                            <a:gd fmla="val 21600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21600" stroke="true" w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93000000">
      <w:pPr>
        <w:spacing w:after="0" w:line="240" w:lineRule="auto"/>
        <w:ind w:firstLine="0" w:left="4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sz w:val="24"/>
        </w:rPr>
        <w:t xml:space="preserve">Приложение № </w:t>
      </w:r>
      <w:r>
        <w:rPr>
          <w:rFonts w:ascii="Times New Roman" w:hAnsi="Times New Roman"/>
          <w:sz w:val="24"/>
        </w:rPr>
        <w:t>2</w:t>
      </w:r>
    </w:p>
    <w:p w14:paraId="94000000">
      <w:pPr>
        <w:spacing w:after="0" w:line="240" w:lineRule="auto"/>
        <w:ind w:firstLine="0" w:left="4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Порядку согласования (одобрения) сделок государственных унитарных предприятий и уч</w:t>
      </w:r>
      <w:r>
        <w:rPr>
          <w:rFonts w:ascii="Times New Roman" w:hAnsi="Times New Roman"/>
          <w:sz w:val="24"/>
        </w:rPr>
        <w:t xml:space="preserve">реждений, </w:t>
      </w:r>
      <w:r>
        <w:rPr>
          <w:rFonts w:ascii="Times New Roman" w:hAnsi="Times New Roman"/>
          <w:sz w:val="24"/>
        </w:rPr>
        <w:t>находящихся в ведении администрации города Байконур</w:t>
      </w:r>
      <w:r>
        <w:rPr>
          <w:rFonts w:ascii="Times New Roman" w:hAnsi="Times New Roman"/>
          <w:sz w:val="24"/>
        </w:rPr>
        <w:t xml:space="preserve"> </w:t>
      </w:r>
    </w:p>
    <w:p w14:paraId="95000000">
      <w:pPr>
        <w:spacing w:after="0"/>
        <w:ind w:firstLine="0" w:left="467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96000000">
      <w:pPr>
        <w:spacing w:after="0"/>
        <w:ind w:firstLine="0" w:left="5760"/>
        <w:jc w:val="both"/>
        <w:rPr>
          <w:rFonts w:ascii="Times New Roman" w:hAnsi="Times New Roman"/>
        </w:rPr>
      </w:pPr>
    </w:p>
    <w:p w14:paraId="97000000">
      <w:pPr>
        <w:spacing w:after="0"/>
        <w:ind w:firstLine="0" w:left="5940"/>
        <w:jc w:val="both"/>
        <w:rPr>
          <w:rFonts w:ascii="Times New Roman" w:hAnsi="Times New Roman"/>
        </w:rPr>
      </w:pPr>
    </w:p>
    <w:p w14:paraId="98000000">
      <w:pPr>
        <w:spacing w:after="0"/>
        <w:ind w:firstLine="0" w:left="5940"/>
        <w:jc w:val="both"/>
        <w:rPr>
          <w:rFonts w:ascii="Times New Roman" w:hAnsi="Times New Roman"/>
        </w:rPr>
      </w:pPr>
    </w:p>
    <w:tbl>
      <w:tblPr>
        <w:tblStyle w:val="Style_4"/>
        <w:tblInd w:type="dxa" w:w="108"/>
        <w:tblLayout w:type="fixed"/>
      </w:tblPr>
      <w:tblGrid>
        <w:gridCol w:w="4395"/>
      </w:tblGrid>
      <w:tr>
        <w:trPr>
          <w:trHeight w:hRule="atLeast" w:val="1275"/>
        </w:trPr>
        <w:tc>
          <w:tcPr>
            <w:tcW w:type="dxa" w:w="4395"/>
          </w:tcPr>
          <w:p w14:paraId="99000000">
            <w:pPr>
              <w:pStyle w:val="Style_5"/>
              <w:spacing w:line="276" w:lineRule="auto"/>
              <w:ind/>
              <w:rPr>
                <w:rFonts w:ascii="Times New Roman" w:hAnsi="Times New Roman"/>
                <w:spacing w:val="40"/>
                <w:sz w:val="28"/>
              </w:rPr>
            </w:pPr>
          </w:p>
          <w:p w14:paraId="9A000000">
            <w:pPr>
              <w:pStyle w:val="Style_5"/>
              <w:spacing w:line="276" w:lineRule="auto"/>
              <w:ind/>
              <w:rPr>
                <w:rFonts w:ascii="Times New Roman" w:hAnsi="Times New Roman"/>
                <w:spacing w:val="40"/>
                <w:sz w:val="28"/>
              </w:rPr>
            </w:pPr>
            <w:r>
              <w:rPr>
                <w:rFonts w:ascii="Times New Roman" w:hAnsi="Times New Roman"/>
                <w:spacing w:val="40"/>
                <w:sz w:val="28"/>
              </w:rPr>
              <w:t>АДМИНИСТРАЦИЯ</w:t>
            </w:r>
          </w:p>
          <w:p w14:paraId="9B000000">
            <w:pPr>
              <w:pStyle w:val="Style_5"/>
              <w:widowControl w:val="0"/>
              <w:spacing w:line="276" w:lineRule="auto"/>
              <w:ind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pacing w:val="40"/>
                <w:sz w:val="28"/>
              </w:rPr>
              <w:t>ГОРОДА БАЙКОНУР</w:t>
            </w:r>
            <w:r>
              <w:rPr>
                <w:rFonts w:ascii="Times New Roman" w:hAnsi="Times New Roman"/>
                <w:spacing w:val="4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true" layoutInCell="true" locked="false" relativeHeight="251658240" simplePos="false">
                      <wp:simplePos x="0" y="0"/>
                      <wp:positionH relativeFrom="column">
                        <wp:posOffset>1039495</wp:posOffset>
                      </wp:positionH>
                      <wp:positionV relativeFrom="paragraph">
                        <wp:posOffset>-537210</wp:posOffset>
                      </wp:positionV>
                      <wp:extent cx="653415" cy="736600"/>
                      <wp:wrapNone/>
                      <wp:docPr hidden="false" id="5" name="Picture 5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653415" cy="736600"/>
                              </a:xfrm>
                              <a:custGeom>
                                <a:avLst/>
                                <a:gdLst>
                                  <a:gd fmla="val 0" name="COTextRectL"/>
                                  <a:gd fmla="val 0" name="COTextRectT"/>
                                  <a:gd fmla="val 1" name="COTextRectR"/>
                                  <a:gd fmla="val 1" name="COTextRectB"/>
                                  <a:gd fmla="val 0" name="ODFLeft"/>
                                  <a:gd fmla="val 0" name="ODFTop"/>
                                  <a:gd fmla="val 21600" name="ODFRight"/>
                                  <a:gd fmla="val 21600" name="ODFBottom"/>
                                  <a:gd fmla="val 21600" name="ODFWidth"/>
                                  <a:gd fmla="val 21600" name="ODFHeight"/>
                                  <a:gd fmla="*/ COTextRectL w 1" name="OXMLTextRectL"/>
                                  <a:gd fmla="*/ COTextRectT h 1" name="OXMLTextRectT"/>
                                  <a:gd fmla="*/ COTextRectR w 1" name="OXMLTextRectR"/>
                                  <a:gd fmla="*/ COTextRectB h 1" name="OXMLTextRectB"/>
                                </a:gdLst>
                                <a:rect b="OXMLTextRectB" l="OXMLTextRectL" r="OXMLTextRectR" t="OXMLTextRectT"/>
                                <a:pathLst>
                                  <a:path fill="norm" h="21600" stroke="true" w="21600">
                                    <a:moveTo>
                                      <a:pt x="0" y="0"/>
                                    </a:moveTo>
                                    <a:lnTo>
                                      <a:pt x="0" y="2160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9C000000">
                                  <w:pPr>
                                    <w:pStyle w:val="Style_6"/>
                                    <w:ind/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pacing w:val="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spacing w:val="0"/>
                                    </w:rPr>
                                    <w:drawing>
                                      <wp:inline>
                                        <wp:extent cx="653669" cy="736346"/>
                                        <wp:effectExtent b="0" l="0" r="0" t="0"/>
                                        <wp:docPr hidden="false" id="4" name="Picture 4"/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hidden="false" id="3" name="Picture 3"/>
                                                <pic:cNvPicPr preferRelativeResize="true"/>
                                              </pic:nvPicPr>
                                              <pic:blipFill>
                                                <a:blip r:embed="rId3"/>
                                                <a:srcRect b="0" l="0" r="0" t="0"/>
                                                <a:stretch/>
                                              </pic:blipFill>
                                              <pic:spPr>
                                                <a:xfrm flipH="false" flipV="false" rot="0">
                                                  <a:ext cx="653669" cy="736346"/>
                                                </a:xfrm>
                                                <a:prstGeom prst="rect"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bIns="0" lIns="0" rIns="0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  <w:tr>
        <w:trPr>
          <w:trHeight w:hRule="atLeast" w:val="1117"/>
        </w:trPr>
        <w:tc>
          <w:tcPr>
            <w:tcW w:type="dxa" w:w="4395"/>
          </w:tcPr>
          <w:p w14:paraId="9D000000">
            <w:pPr>
              <w:tabs>
                <w:tab w:leader="none" w:pos="4253" w:val="left"/>
              </w:tabs>
              <w:spacing w:after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проспект академика Королева, 33 </w:t>
            </w:r>
          </w:p>
          <w:p w14:paraId="9E000000">
            <w:pPr>
              <w:tabs>
                <w:tab w:leader="none" w:pos="4253" w:val="left"/>
              </w:tabs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</w:rPr>
              <w:t>г. Байконур, 468320</w:t>
            </w:r>
          </w:p>
          <w:p w14:paraId="9F000000">
            <w:pPr>
              <w:spacing w:after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 (336-22) 7-12-60,</w:t>
            </w:r>
          </w:p>
          <w:p w14:paraId="A0000000">
            <w:pPr>
              <w:spacing w:after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 (факс) (336-22) 7-16-23</w:t>
            </w:r>
          </w:p>
          <w:p w14:paraId="A1000000">
            <w:pPr>
              <w:widowControl w:val="0"/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</w:rPr>
              <w:t>www.baikonuradm.ru</w:t>
            </w:r>
          </w:p>
        </w:tc>
      </w:tr>
      <w:tr>
        <w:trPr>
          <w:trHeight w:hRule="atLeast" w:val="585"/>
        </w:trPr>
        <w:tc>
          <w:tcPr>
            <w:tcW w:type="dxa" w:w="4395"/>
          </w:tcPr>
          <w:p w14:paraId="A2000000">
            <w:pPr>
              <w:widowControl w:val="0"/>
              <w:spacing w:after="0"/>
              <w:ind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____________   №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________________</w:t>
            </w:r>
          </w:p>
          <w:p w14:paraId="A3000000">
            <w:pPr>
              <w:spacing w:after="0"/>
              <w:ind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на  №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    </w:t>
            </w:r>
            <w:r>
              <w:rPr>
                <w:rFonts w:ascii="Times New Roman" w:hAnsi="Times New Roman"/>
                <w:sz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             </w:t>
            </w:r>
            <w:r>
              <w:rPr>
                <w:rFonts w:ascii="Times New Roman" w:hAnsi="Times New Roman"/>
                <w:color w:val="FFFFFF"/>
                <w:sz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</w:t>
            </w:r>
          </w:p>
          <w:p w14:paraId="A4000000">
            <w:pPr>
              <w:spacing w:after="0"/>
              <w:ind/>
              <w:jc w:val="center"/>
              <w:rPr>
                <w:rFonts w:ascii="Times New Roman" w:hAnsi="Times New Roman"/>
              </w:rPr>
            </w:pPr>
          </w:p>
        </w:tc>
      </w:tr>
    </w:tbl>
    <w:p w14:paraId="A5000000">
      <w:pPr>
        <w:spacing w:after="0"/>
        <w:ind/>
        <w:rPr>
          <w:rFonts w:ascii="Times New Roman" w:hAnsi="Times New Roman"/>
        </w:rPr>
      </w:pPr>
    </w:p>
    <w:p w14:paraId="A6000000">
      <w:pPr>
        <w:spacing w:after="0"/>
        <w:ind/>
        <w:rPr>
          <w:rFonts w:ascii="Times New Roman" w:hAnsi="Times New Roman"/>
        </w:rPr>
      </w:pPr>
    </w:p>
    <w:p w14:paraId="A7000000">
      <w:pPr>
        <w:pStyle w:val="Style_7"/>
        <w:spacing w:after="0" w:before="0"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A8000000">
      <w:pPr>
        <w:pStyle w:val="Style_7"/>
        <w:spacing w:after="0" w:before="0" w:line="276" w:lineRule="auto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О(б)</w:t>
      </w:r>
      <w:r>
        <w:rPr>
          <w:rFonts w:ascii="Times New Roman" w:hAnsi="Times New Roman"/>
          <w:b w:val="0"/>
        </w:rPr>
        <w:t xml:space="preserve"> согласовании</w:t>
      </w:r>
      <w:r>
        <w:rPr>
          <w:rFonts w:ascii="Times New Roman" w:hAnsi="Times New Roman"/>
          <w:b w:val="0"/>
        </w:rPr>
        <w:t xml:space="preserve"> (одобрении)</w:t>
      </w:r>
      <w:r>
        <w:rPr>
          <w:rFonts w:ascii="Times New Roman" w:hAnsi="Times New Roman"/>
          <w:b w:val="0"/>
        </w:rPr>
        <w:t>, отказе в согласовании</w:t>
      </w:r>
      <w:r>
        <w:rPr>
          <w:rFonts w:ascii="Times New Roman" w:hAnsi="Times New Roman"/>
          <w:b w:val="0"/>
        </w:rPr>
        <w:t>(одобрении)</w:t>
      </w:r>
      <w:r>
        <w:rPr>
          <w:rFonts w:ascii="Times New Roman" w:hAnsi="Times New Roman"/>
          <w:b w:val="0"/>
          <w:sz w:val="28"/>
        </w:rPr>
        <w:t xml:space="preserve"> сделки</w:t>
      </w:r>
    </w:p>
    <w:p w14:paraId="A9000000">
      <w:pPr>
        <w:spacing w:after="0"/>
        <w:ind/>
        <w:rPr>
          <w:rFonts w:ascii="Times New Roman" w:hAnsi="Times New Roman"/>
          <w:sz w:val="24"/>
        </w:rPr>
      </w:pPr>
    </w:p>
    <w:p w14:paraId="AA000000">
      <w:pPr>
        <w:spacing w:after="0"/>
        <w:ind/>
        <w:rPr>
          <w:rFonts w:ascii="Times New Roman" w:hAnsi="Times New Roman"/>
        </w:rPr>
      </w:pPr>
    </w:p>
    <w:p w14:paraId="AB000000">
      <w:pPr>
        <w:pStyle w:val="Style_8"/>
        <w:spacing w:after="0" w:before="0"/>
        <w:ind/>
        <w:jc w:val="both"/>
      </w:pPr>
      <w:r>
        <w:t>Администрация города Байконур, рассмотрев заявление ______________________</w:t>
      </w:r>
      <w:r>
        <w:tab/>
      </w:r>
      <w:r>
        <w:t>_</w:t>
      </w:r>
      <w:r>
        <w:t>____</w:t>
      </w:r>
      <w:r>
        <w:t>от ____________________</w:t>
      </w:r>
      <w:r>
        <w:t>_________________________________________________</w:t>
      </w:r>
      <w:r>
        <w:t>___</w:t>
      </w:r>
    </w:p>
    <w:p w14:paraId="AC000000">
      <w:pPr>
        <w:pStyle w:val="Style_8"/>
        <w:spacing w:after="0" w:before="0"/>
        <w:ind/>
        <w:jc w:val="center"/>
        <w:rPr>
          <w:sz w:val="14"/>
        </w:rPr>
      </w:pPr>
      <w:r>
        <w:rPr>
          <w:sz w:val="14"/>
        </w:rPr>
        <w:t>(наименование государственного унитарного предприятия</w:t>
      </w:r>
      <w:r>
        <w:rPr>
          <w:sz w:val="14"/>
        </w:rPr>
        <w:t>, бюджетного учреждения</w:t>
      </w:r>
      <w:r>
        <w:rPr>
          <w:sz w:val="14"/>
        </w:rPr>
        <w:t>)</w:t>
      </w:r>
    </w:p>
    <w:p w14:paraId="AD000000">
      <w:pPr>
        <w:pStyle w:val="Style_8"/>
        <w:spacing w:after="0" w:before="0"/>
        <w:ind/>
        <w:jc w:val="both"/>
      </w:pPr>
      <w:r>
        <w:t xml:space="preserve">(протокол заседания комиссии по согласованию </w:t>
      </w:r>
      <w:r>
        <w:t xml:space="preserve">согласования </w:t>
      </w:r>
      <w:r>
        <w:t>(одобрени</w:t>
      </w:r>
      <w:r>
        <w:t>ю</w:t>
      </w:r>
      <w:r>
        <w:t>) сделок государственных унитарных предприятий и учреждений, находящихся в ведении администрации города Байконур</w:t>
      </w:r>
      <w:r>
        <w:t>,</w:t>
      </w:r>
      <w:r>
        <w:t xml:space="preserve"> </w:t>
      </w:r>
      <w:r>
        <w:t>от _______________________ № _______) принимает решение о(б) согласовании</w:t>
      </w:r>
      <w:r>
        <w:t xml:space="preserve"> (одобрении)</w:t>
      </w:r>
      <w:r>
        <w:t>, отказе в</w:t>
      </w:r>
      <w:r>
        <w:t xml:space="preserve"> </w:t>
      </w:r>
      <w:r>
        <w:t xml:space="preserve">согласовании </w:t>
      </w:r>
      <w:r>
        <w:t xml:space="preserve">(одобрении) </w:t>
      </w:r>
      <w:r>
        <w:t xml:space="preserve">сделки </w:t>
      </w:r>
      <w:r>
        <w:t>по причине(ам): ____________________________</w:t>
      </w:r>
      <w:r>
        <w:t>___________</w:t>
      </w:r>
      <w:r>
        <w:t>___</w:t>
      </w:r>
      <w:r>
        <w:t>___</w:t>
      </w:r>
      <w:r>
        <w:t>____________.</w:t>
      </w:r>
    </w:p>
    <w:p w14:paraId="AE000000">
      <w:pPr>
        <w:pStyle w:val="Style_8"/>
        <w:spacing w:after="0" w:before="0" w:line="276" w:lineRule="auto"/>
        <w:ind/>
        <w:jc w:val="both"/>
      </w:pPr>
    </w:p>
    <w:p w14:paraId="AF000000">
      <w:pPr>
        <w:pStyle w:val="Style_8"/>
        <w:spacing w:after="0" w:before="0" w:line="276" w:lineRule="auto"/>
        <w:ind/>
        <w:jc w:val="both"/>
      </w:pPr>
      <w:r>
        <w:t xml:space="preserve">Срок действия настоящего согласования </w:t>
      </w:r>
      <w:r>
        <w:t xml:space="preserve">(одобрения) </w:t>
      </w:r>
      <w:r>
        <w:t>до</w:t>
      </w:r>
      <w:r>
        <w:t>______________________.</w:t>
      </w:r>
    </w:p>
    <w:p w14:paraId="B0000000">
      <w:pPr>
        <w:pStyle w:val="Style_8"/>
        <w:spacing w:after="0" w:before="0" w:line="276" w:lineRule="auto"/>
        <w:ind/>
      </w:pPr>
    </w:p>
    <w:p w14:paraId="B1000000">
      <w:pPr>
        <w:pStyle w:val="Style_8"/>
        <w:spacing w:after="0" w:before="0" w:line="276" w:lineRule="auto"/>
        <w:ind/>
      </w:pPr>
    </w:p>
    <w:p w14:paraId="B2000000">
      <w:pPr>
        <w:pStyle w:val="Style_8"/>
        <w:spacing w:after="0" w:before="0" w:line="276" w:lineRule="auto"/>
        <w:ind/>
      </w:pPr>
      <w:r>
        <w:t>Председатель комиссии</w:t>
      </w:r>
      <w:r>
        <w:t xml:space="preserve">                                                     _______________/Фамилия</w:t>
      </w:r>
      <w:r>
        <w:t>,</w:t>
      </w:r>
      <w:r>
        <w:t xml:space="preserve"> </w:t>
      </w:r>
      <w:r>
        <w:t>инициалы</w:t>
      </w:r>
      <w:r>
        <w:t>/</w:t>
      </w:r>
    </w:p>
    <w:p w14:paraId="B3000000">
      <w:pPr>
        <w:pStyle w:val="Style_8"/>
        <w:spacing w:after="0" w:before="0" w:line="276" w:lineRule="auto"/>
        <w:ind w:firstLine="708" w:left="2124"/>
        <w:jc w:val="both"/>
      </w:pPr>
      <w:r>
        <w:t xml:space="preserve">                                               </w:t>
      </w:r>
      <w:r>
        <w:rPr>
          <w:sz w:val="22"/>
        </w:rPr>
        <w:t>(подпись)</w:t>
      </w:r>
    </w:p>
    <w:p w14:paraId="B4000000">
      <w:pPr>
        <w:pStyle w:val="Style_8"/>
        <w:spacing w:after="0" w:before="0" w:line="276" w:lineRule="auto"/>
        <w:ind/>
      </w:pPr>
    </w:p>
    <w:p w14:paraId="B5000000">
      <w:pPr>
        <w:pStyle w:val="Style_8"/>
        <w:spacing w:after="0" w:before="0" w:line="276" w:lineRule="auto"/>
        <w:ind/>
      </w:pPr>
      <w:r>
        <w:t>М.П.</w:t>
      </w:r>
    </w:p>
    <w:p w14:paraId="B6000000">
      <w:pPr>
        <w:spacing w:after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</w:t>
      </w:r>
    </w:p>
    <w:sectPr>
      <w:headerReference r:id="rId1" w:type="default"/>
      <w:pgSz w:h="16838" w:orient="portrait" w:w="11906"/>
      <w:pgMar w:bottom="851" w:footer="709" w:gutter="0" w:header="425" w:left="1531" w:right="624" w:top="98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</w:rPr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2000000">
    <w:pPr>
      <w:pStyle w:val="Style_1"/>
      <w:ind/>
      <w:jc w:val="center"/>
      <w:rPr>
        <w:rFonts w:ascii="Times New Roman" w:hAnsi="Times New Roman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1429"/>
      </w:pPr>
      <w:rPr>
        <w:i w:val="0"/>
      </w:rPr>
    </w:lvl>
    <w:lvl w:ilvl="2">
      <w:start w:val="1"/>
      <w:numFmt w:val="decimal"/>
      <w:lvlText w:val="%1.%2.%3."/>
      <w:lvlJc w:val="left"/>
      <w:pPr>
        <w:ind w:hanging="720" w:left="2138"/>
      </w:pPr>
    </w:lvl>
    <w:lvl w:ilvl="3">
      <w:start w:val="1"/>
      <w:numFmt w:val="decimal"/>
      <w:lvlText w:val="%1.%2.%3.%4."/>
      <w:lvlJc w:val="left"/>
      <w:pPr>
        <w:ind w:hanging="1080" w:left="3207"/>
      </w:pPr>
    </w:lvl>
    <w:lvl w:ilvl="4">
      <w:start w:val="1"/>
      <w:numFmt w:val="decimal"/>
      <w:lvlText w:val="%1.%2.%3.%4.%5."/>
      <w:lvlJc w:val="left"/>
      <w:pPr>
        <w:ind w:hanging="1080" w:left="3916"/>
      </w:pPr>
    </w:lvl>
    <w:lvl w:ilvl="5">
      <w:start w:val="1"/>
      <w:numFmt w:val="decimal"/>
      <w:lvlText w:val="%1.%2.%3.%4.%5.%6."/>
      <w:lvlJc w:val="left"/>
      <w:pPr>
        <w:ind w:hanging="1440" w:left="4985"/>
      </w:pPr>
    </w:lvl>
    <w:lvl w:ilvl="6">
      <w:start w:val="1"/>
      <w:numFmt w:val="decimal"/>
      <w:lvlText w:val="%1.%2.%3.%4.%5.%6.%7."/>
      <w:lvlJc w:val="left"/>
      <w:pPr>
        <w:ind w:hanging="1800" w:left="6054"/>
      </w:pPr>
    </w:lvl>
    <w:lvl w:ilvl="7">
      <w:start w:val="1"/>
      <w:numFmt w:val="decimal"/>
      <w:lvlText w:val="%1.%2.%3.%4.%5.%6.%7.%8."/>
      <w:lvlJc w:val="left"/>
      <w:pPr>
        <w:ind w:hanging="1800" w:left="6763"/>
      </w:pPr>
    </w:lvl>
    <w:lvl w:ilvl="8">
      <w:start w:val="1"/>
      <w:numFmt w:val="decimal"/>
      <w:lvlText w:val="%1.%2.%3.%4.%5.%6.%7.%8.%9."/>
      <w:lvlJc w:val="left"/>
      <w:pPr>
        <w:ind w:hanging="2160" w:left="7832"/>
      </w:pPr>
    </w:lvl>
  </w:abstractNum>
  <w:abstractNum w:abstractNumId="1">
    <w:lvl w:ilvl="0">
      <w:start w:val="1"/>
      <w:numFmt w:val="decimal"/>
      <w:lvlText w:val="%1."/>
      <w:lvlJc w:val="left"/>
      <w:pPr>
        <w:ind w:hanging="450" w:left="1301"/>
      </w:pPr>
      <w:rPr>
        <w:i w:val="0"/>
        <w:sz w:val="28"/>
      </w:rPr>
    </w:lvl>
    <w:lvl w:ilvl="1">
      <w:start w:val="1"/>
      <w:numFmt w:val="decimal"/>
      <w:lvlText w:val="%1.%2."/>
      <w:lvlJc w:val="left"/>
      <w:pPr>
        <w:ind w:hanging="450" w:left="1159"/>
      </w:pPr>
      <w:rPr>
        <w:rFonts w:ascii="Times New Roman" w:hAnsi="Times New Roman"/>
        <w:i w:val="0"/>
        <w:sz w:val="28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ascii="Times New Roman" w:hAnsi="Times New Roman"/>
        <w:i w:val="0"/>
        <w:sz w:val="28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ascii="Times New Roman" w:hAnsi="Times New Roman"/>
        <w:i w:val="0"/>
        <w:sz w:val="28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ascii="Times New Roman" w:hAnsi="Times New Roman"/>
        <w:i w:val="0"/>
        <w:sz w:val="28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ascii="Times New Roman" w:hAnsi="Times New Roman"/>
        <w:i w:val="0"/>
        <w:sz w:val="28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ascii="Times New Roman" w:hAnsi="Times New Roman"/>
        <w:i w:val="0"/>
        <w:sz w:val="28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ascii="Times New Roman" w:hAnsi="Times New Roman"/>
        <w:i w:val="0"/>
        <w:sz w:val="28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ascii="Times New Roman" w:hAnsi="Times New Roman"/>
        <w:i w:val="0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spacing w:after="200" w:line="276" w:lineRule="auto"/>
      <w:ind/>
    </w:pPr>
    <w:rPr>
      <w:sz w:val="22"/>
    </w:rPr>
  </w:style>
  <w:style w:default="1" w:styleId="Style_6_ch" w:type="character">
    <w:name w:val="Normal"/>
    <w:link w:val="Style_6"/>
    <w:rPr>
      <w:sz w:val="22"/>
    </w:rPr>
  </w:style>
  <w:style w:styleId="Style_9" w:type="paragraph">
    <w:name w:val="toc 2"/>
    <w:next w:val="Style_6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6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6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6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7" w:type="paragraph">
    <w:name w:val="heading 3"/>
    <w:basedOn w:val="Style_6"/>
    <w:next w:val="Style_6"/>
    <w:link w:val="Style_7_ch"/>
    <w:uiPriority w:val="9"/>
    <w:qFormat/>
    <w:pPr>
      <w:keepNext w:val="1"/>
      <w:spacing w:after="60" w:before="240" w:line="240" w:lineRule="auto"/>
      <w:ind/>
      <w:outlineLvl w:val="2"/>
    </w:pPr>
    <w:rPr>
      <w:rFonts w:ascii="Cambria" w:hAnsi="Cambria"/>
      <w:b w:val="1"/>
      <w:sz w:val="26"/>
    </w:rPr>
  </w:style>
  <w:style w:styleId="Style_7_ch" w:type="character">
    <w:name w:val="heading 3"/>
    <w:basedOn w:val="Style_6_ch"/>
    <w:link w:val="Style_7"/>
    <w:rPr>
      <w:rFonts w:ascii="Cambria" w:hAnsi="Cambria"/>
      <w:b w:val="1"/>
      <w:sz w:val="26"/>
    </w:rPr>
  </w:style>
  <w:style w:styleId="Style_2" w:type="paragraph">
    <w:name w:val="Body Text Indent 3"/>
    <w:basedOn w:val="Style_6"/>
    <w:link w:val="Style_2_ch"/>
    <w:pPr>
      <w:spacing w:after="0" w:line="240" w:lineRule="auto"/>
      <w:ind w:firstLine="709" w:left="0"/>
      <w:jc w:val="both"/>
    </w:pPr>
    <w:rPr>
      <w:rFonts w:ascii="Times New Roman" w:hAnsi="Times New Roman"/>
      <w:sz w:val="28"/>
    </w:rPr>
  </w:style>
  <w:style w:styleId="Style_2_ch" w:type="character">
    <w:name w:val="Body Text Indent 3"/>
    <w:basedOn w:val="Style_6_ch"/>
    <w:link w:val="Style_2"/>
    <w:rPr>
      <w:rFonts w:ascii="Times New Roman" w:hAnsi="Times New Roman"/>
      <w:sz w:val="28"/>
    </w:rPr>
  </w:style>
  <w:style w:styleId="Style_8" w:type="paragraph">
    <w:name w:val="Normal (Web)"/>
    <w:basedOn w:val="Style_6"/>
    <w:link w:val="Style_8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8_ch" w:type="character">
    <w:name w:val="Normal (Web)"/>
    <w:basedOn w:val="Style_6_ch"/>
    <w:link w:val="Style_8"/>
    <w:rPr>
      <w:rFonts w:ascii="Times New Roman" w:hAnsi="Times New Roman"/>
      <w:sz w:val="24"/>
    </w:rPr>
  </w:style>
  <w:style w:styleId="Style_13" w:type="paragraph">
    <w:name w:val="List Paragraph"/>
    <w:basedOn w:val="Style_6"/>
    <w:link w:val="Style_13_ch"/>
    <w:pPr>
      <w:ind w:firstLine="0" w:left="708"/>
    </w:pPr>
  </w:style>
  <w:style w:styleId="Style_13_ch" w:type="character">
    <w:name w:val="List Paragraph"/>
    <w:basedOn w:val="Style_6_ch"/>
    <w:link w:val="Style_13"/>
  </w:style>
  <w:style w:styleId="Style_14" w:type="paragraph">
    <w:name w:val="Balloon Text"/>
    <w:basedOn w:val="Style_6"/>
    <w:link w:val="Style_14_ch"/>
    <w:pPr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6_ch"/>
    <w:link w:val="Style_14"/>
    <w:rPr>
      <w:rFonts w:ascii="Tahoma" w:hAnsi="Tahoma"/>
      <w:sz w:val="16"/>
    </w:rPr>
  </w:style>
  <w:style w:styleId="Style_15" w:type="paragraph">
    <w:name w:val="toc 3"/>
    <w:next w:val="Style_6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6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5" w:type="paragraph">
    <w:name w:val="heading 1"/>
    <w:basedOn w:val="Style_6"/>
    <w:next w:val="Style_6"/>
    <w:link w:val="Style_5_ch"/>
    <w:uiPriority w:val="9"/>
    <w:qFormat/>
    <w:pPr>
      <w:keepNext w:val="1"/>
      <w:spacing w:after="0" w:line="240" w:lineRule="auto"/>
      <w:ind/>
      <w:jc w:val="center"/>
      <w:outlineLvl w:val="0"/>
    </w:pPr>
    <w:rPr>
      <w:rFonts w:ascii="Baltica" w:hAnsi="Baltica"/>
      <w:b w:val="1"/>
      <w:sz w:val="40"/>
    </w:rPr>
  </w:style>
  <w:style w:styleId="Style_5_ch" w:type="character">
    <w:name w:val="heading 1"/>
    <w:basedOn w:val="Style_6_ch"/>
    <w:link w:val="Style_5"/>
    <w:rPr>
      <w:rFonts w:ascii="Baltica" w:hAnsi="Baltica"/>
      <w:b w:val="1"/>
      <w:sz w:val="40"/>
    </w:rPr>
  </w:style>
  <w:style w:styleId="Style_17" w:type="paragraph">
    <w:name w:val="s1"/>
    <w:link w:val="Style_17_ch"/>
    <w:rPr>
      <w:rFonts w:ascii="Times New Roman" w:hAnsi="Times New Roman"/>
      <w:b w:val="1"/>
      <w:color w:val="000000"/>
    </w:rPr>
  </w:style>
  <w:style w:styleId="Style_17_ch" w:type="character">
    <w:name w:val="s1"/>
    <w:link w:val="Style_17"/>
    <w:rPr>
      <w:rFonts w:ascii="Times New Roman" w:hAnsi="Times New Roman"/>
      <w:b w:val="1"/>
      <w:color w:val="00000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6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0"/>
    </w:rPr>
  </w:style>
  <w:style w:styleId="Style_21_ch" w:type="character">
    <w:name w:val="Header and Footer"/>
    <w:link w:val="Style_21"/>
    <w:rPr>
      <w:rFonts w:ascii="XO Thames" w:hAnsi="XO Thames"/>
      <w:sz w:val="20"/>
    </w:rPr>
  </w:style>
  <w:style w:styleId="Style_22" w:type="paragraph">
    <w:name w:val="toc 9"/>
    <w:next w:val="Style_6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oc 8"/>
    <w:next w:val="Style_6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6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blk"/>
    <w:link w:val="Style_26_ch"/>
  </w:style>
  <w:style w:styleId="Style_26_ch" w:type="character">
    <w:name w:val="blk"/>
    <w:link w:val="Style_26"/>
  </w:style>
  <w:style w:styleId="Style_27" w:type="paragraph">
    <w:name w:val="Subtitle"/>
    <w:next w:val="Style_6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28" w:type="paragraph">
    <w:name w:val="Title"/>
    <w:next w:val="Style_6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6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" w:type="paragraph">
    <w:name w:val="ConsPlusNormal"/>
    <w:link w:val="Style_3_ch"/>
    <w:pPr>
      <w:widowControl w:val="0"/>
      <w:ind w:firstLine="720" w:left="0"/>
    </w:pPr>
    <w:rPr>
      <w:rFonts w:ascii="Arial" w:hAnsi="Arial"/>
    </w:rPr>
  </w:style>
  <w:style w:styleId="Style_3_ch" w:type="character">
    <w:name w:val="ConsPlusNormal"/>
    <w:link w:val="Style_3"/>
    <w:rPr>
      <w:rFonts w:ascii="Arial" w:hAnsi="Arial"/>
    </w:rPr>
  </w:style>
  <w:style w:styleId="Style_30" w:type="paragraph">
    <w:name w:val="heading 2"/>
    <w:next w:val="Style_6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paragraph">
    <w:name w:val="footer"/>
    <w:basedOn w:val="Style_6"/>
    <w:link w:val="Style_31_ch"/>
    <w:pPr>
      <w:tabs>
        <w:tab w:leader="none" w:pos="4677" w:val="center"/>
        <w:tab w:leader="none" w:pos="9355" w:val="right"/>
      </w:tabs>
      <w:ind/>
    </w:pPr>
  </w:style>
  <w:style w:styleId="Style_31_ch" w:type="character">
    <w:name w:val="footer"/>
    <w:basedOn w:val="Style_6_ch"/>
    <w:link w:val="Style_31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media/1.png" Type="http://schemas.openxmlformats.org/officeDocument/2006/relationships/imag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2024-07-17T07:07:01Z</dcterms:modified>
</cp:coreProperties>
</file>